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18B6DE72" w:rsidR="00D77FB6" w:rsidRDefault="00E31557">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0E6FF4E9" w:rsidR="00D77FB6" w:rsidRDefault="001C5243">
                            <w:pPr>
                              <w:jc w:val="center"/>
                              <w:rPr>
                                <w:b/>
                              </w:rPr>
                            </w:pPr>
                            <w:r>
                              <w:rPr>
                                <w:b/>
                              </w:rPr>
                              <w:t>August 9</w:t>
                            </w:r>
                            <w:r w:rsidR="00D77FB6">
                              <w:rPr>
                                <w:b/>
                              </w:rPr>
                              <w:t>, 202</w:t>
                            </w:r>
                            <w:r w:rsidR="004726DF">
                              <w:rPr>
                                <w:b/>
                              </w:rPr>
                              <w:t>2</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" strokeweight="6pt">
                <v:stroke linestyle="thickBetweenThin"/>
                <v:textbox>
                  <w:txbxContent>
                    <w:p w14:paraId="283172AC" w14:textId="18B6DE72" w:rsidR="00D77FB6" w:rsidRDefault="00E31557">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0E6FF4E9" w:rsidR="00D77FB6" w:rsidRDefault="001C5243">
                      <w:pPr>
                        <w:jc w:val="center"/>
                        <w:rPr>
                          <w:b/>
                        </w:rPr>
                      </w:pPr>
                      <w:r>
                        <w:rPr>
                          <w:b/>
                        </w:rPr>
                        <w:t>August 9</w:t>
                      </w:r>
                      <w:r w:rsidR="00D77FB6">
                        <w:rPr>
                          <w:b/>
                        </w:rPr>
                        <w:t>, 202</w:t>
                      </w:r>
                      <w:r w:rsidR="004726DF">
                        <w:rPr>
                          <w:b/>
                        </w:rPr>
                        <w:t>2</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B90A879" w14:textId="7978C9B9" w:rsidR="002E45E7" w:rsidRPr="00290C73" w:rsidRDefault="00614F68" w:rsidP="00290C73">
      <w:pPr>
        <w:jc w:val="center"/>
        <w:rPr>
          <w:b/>
          <w:sz w:val="28"/>
          <w:szCs w:val="28"/>
        </w:rPr>
      </w:pPr>
      <w:r w:rsidRPr="00290C73">
        <w:rPr>
          <w:b/>
          <w:sz w:val="28"/>
          <w:szCs w:val="28"/>
        </w:rPr>
        <w:t>Agenda Items</w:t>
      </w:r>
    </w:p>
    <w:p w14:paraId="779C3339" w14:textId="77777777" w:rsidR="00241E56" w:rsidRPr="007E4CCF" w:rsidRDefault="00241E56" w:rsidP="00241E56">
      <w:r>
        <w:t> </w:t>
      </w:r>
    </w:p>
    <w:p w14:paraId="68B945C6" w14:textId="77777777" w:rsidR="00B83115" w:rsidRDefault="00B83115" w:rsidP="00B83115">
      <w:r>
        <w:t> </w:t>
      </w:r>
    </w:p>
    <w:p w14:paraId="071C5393" w14:textId="3F56BD21" w:rsidR="004726DF" w:rsidRDefault="00954ECF" w:rsidP="004726DF">
      <w:pPr>
        <w:pStyle w:val="ListParagraph"/>
        <w:numPr>
          <w:ilvl w:val="0"/>
          <w:numId w:val="9"/>
        </w:numPr>
      </w:pPr>
      <w:r>
        <w:t>Proposed federal changes to the DBE program</w:t>
      </w:r>
      <w:r w:rsidR="003A68D0">
        <w:t xml:space="preserve"> (MAPA)</w:t>
      </w:r>
    </w:p>
    <w:p w14:paraId="7DA280D0" w14:textId="0BFA8631" w:rsidR="00DF1887" w:rsidRDefault="00DF1887" w:rsidP="00DF1887"/>
    <w:p w14:paraId="6FB80764" w14:textId="31393ECF" w:rsidR="00DF1887" w:rsidRPr="00692FBF" w:rsidRDefault="00DF1887" w:rsidP="00DF1887">
      <w:pPr>
        <w:ind w:left="720"/>
        <w:rPr>
          <w:color w:val="1F497D" w:themeColor="text2"/>
        </w:rPr>
      </w:pPr>
      <w:r w:rsidRPr="00692FBF">
        <w:rPr>
          <w:color w:val="1F497D" w:themeColor="text2"/>
        </w:rPr>
        <w:t xml:space="preserve">Handout of PP presentation provided.  Proposed rules open for comment till 9/19/22.  </w:t>
      </w:r>
      <w:r w:rsidR="00A252EC">
        <w:rPr>
          <w:color w:val="1F497D" w:themeColor="text2"/>
        </w:rPr>
        <w:t>Major possible changes include -</w:t>
      </w:r>
    </w:p>
    <w:p w14:paraId="04055BE8" w14:textId="101404AE" w:rsidR="00DF1887" w:rsidRPr="00692FBF" w:rsidRDefault="00DF1887" w:rsidP="00DF1887">
      <w:pPr>
        <w:pStyle w:val="ListParagraph"/>
        <w:numPr>
          <w:ilvl w:val="0"/>
          <w:numId w:val="10"/>
        </w:numPr>
        <w:rPr>
          <w:color w:val="1F497D" w:themeColor="text2"/>
        </w:rPr>
      </w:pPr>
      <w:r w:rsidRPr="00692FBF">
        <w:rPr>
          <w:color w:val="1F497D" w:themeColor="text2"/>
        </w:rPr>
        <w:t>DB</w:t>
      </w:r>
      <w:r w:rsidR="00016A05">
        <w:rPr>
          <w:color w:val="1F497D" w:themeColor="text2"/>
        </w:rPr>
        <w:t>E</w:t>
      </w:r>
      <w:r w:rsidRPr="00692FBF">
        <w:rPr>
          <w:color w:val="1F497D" w:themeColor="text2"/>
        </w:rPr>
        <w:t xml:space="preserve"> </w:t>
      </w:r>
      <w:r w:rsidR="00016A05">
        <w:rPr>
          <w:color w:val="1F497D" w:themeColor="text2"/>
        </w:rPr>
        <w:t xml:space="preserve">supplier </w:t>
      </w:r>
      <w:r w:rsidRPr="00692FBF">
        <w:rPr>
          <w:color w:val="1F497D" w:themeColor="text2"/>
        </w:rPr>
        <w:t>credit could be limited to 50% of DBE contract goal.</w:t>
      </w:r>
    </w:p>
    <w:p w14:paraId="24FAB096" w14:textId="1EE0C143" w:rsidR="00DF1887" w:rsidRPr="00692FBF" w:rsidRDefault="00DF1887" w:rsidP="00DF1887">
      <w:pPr>
        <w:pStyle w:val="ListParagraph"/>
        <w:numPr>
          <w:ilvl w:val="0"/>
          <w:numId w:val="10"/>
        </w:numPr>
        <w:rPr>
          <w:color w:val="1F497D" w:themeColor="text2"/>
        </w:rPr>
      </w:pPr>
      <w:r w:rsidRPr="00692FBF">
        <w:rPr>
          <w:color w:val="1F497D" w:themeColor="text2"/>
        </w:rPr>
        <w:t xml:space="preserve">Add a classification of DBE </w:t>
      </w:r>
      <w:r w:rsidR="00016A05">
        <w:rPr>
          <w:color w:val="1F497D" w:themeColor="text2"/>
        </w:rPr>
        <w:t>distributor</w:t>
      </w:r>
      <w:r w:rsidRPr="00692FBF">
        <w:rPr>
          <w:color w:val="1F497D" w:themeColor="text2"/>
        </w:rPr>
        <w:t xml:space="preserve">, which could get 40% credit of </w:t>
      </w:r>
      <w:r w:rsidR="00A252EC">
        <w:rPr>
          <w:color w:val="1F497D" w:themeColor="text2"/>
        </w:rPr>
        <w:t>for materials and transport cost</w:t>
      </w:r>
      <w:r w:rsidRPr="00692FBF">
        <w:rPr>
          <w:color w:val="1F497D" w:themeColor="text2"/>
        </w:rPr>
        <w:t>.</w:t>
      </w:r>
    </w:p>
    <w:p w14:paraId="15BA4735" w14:textId="3C0ADA62" w:rsidR="00692FBF" w:rsidRPr="00692FBF" w:rsidRDefault="00692FBF" w:rsidP="00DF1887">
      <w:pPr>
        <w:pStyle w:val="ListParagraph"/>
        <w:numPr>
          <w:ilvl w:val="0"/>
          <w:numId w:val="10"/>
        </w:numPr>
        <w:rPr>
          <w:color w:val="1F497D" w:themeColor="text2"/>
        </w:rPr>
      </w:pPr>
      <w:r w:rsidRPr="00692FBF">
        <w:rPr>
          <w:color w:val="1F497D" w:themeColor="text2"/>
        </w:rPr>
        <w:t xml:space="preserve">DBEs certified in one State </w:t>
      </w:r>
      <w:r w:rsidR="00A252EC">
        <w:rPr>
          <w:color w:val="1F497D" w:themeColor="text2"/>
        </w:rPr>
        <w:t>would be able to be</w:t>
      </w:r>
      <w:r w:rsidRPr="00692FBF">
        <w:rPr>
          <w:color w:val="1F497D" w:themeColor="text2"/>
        </w:rPr>
        <w:t xml:space="preserve"> certified in another </w:t>
      </w:r>
      <w:r w:rsidR="00A420CB">
        <w:rPr>
          <w:color w:val="1F497D" w:themeColor="text2"/>
        </w:rPr>
        <w:t xml:space="preserve">State </w:t>
      </w:r>
      <w:r w:rsidRPr="00692FBF">
        <w:rPr>
          <w:color w:val="1F497D" w:themeColor="text2"/>
        </w:rPr>
        <w:t>with simple identification of current cert</w:t>
      </w:r>
      <w:r w:rsidR="00A252EC">
        <w:rPr>
          <w:color w:val="1F497D" w:themeColor="text2"/>
        </w:rPr>
        <w:t xml:space="preserve"> and declaration of eligibility</w:t>
      </w:r>
      <w:r w:rsidRPr="00692FBF">
        <w:rPr>
          <w:color w:val="1F497D" w:themeColor="text2"/>
        </w:rPr>
        <w:t>.  Decertification would also occur automatically in all States, if decertified in one</w:t>
      </w:r>
      <w:r w:rsidR="00A252EC">
        <w:rPr>
          <w:color w:val="1F497D" w:themeColor="text2"/>
        </w:rPr>
        <w:t xml:space="preserve"> and decision is upheld by US DOT</w:t>
      </w:r>
      <w:r w:rsidRPr="00692FBF">
        <w:rPr>
          <w:color w:val="1F497D" w:themeColor="text2"/>
        </w:rPr>
        <w:t>.</w:t>
      </w:r>
    </w:p>
    <w:p w14:paraId="242DCAE5" w14:textId="77777777" w:rsidR="00B83115" w:rsidRPr="00B83115" w:rsidRDefault="00B83115" w:rsidP="00B83115">
      <w:pPr>
        <w:pStyle w:val="ListParagraph"/>
        <w:rPr>
          <w:sz w:val="22"/>
          <w:szCs w:val="22"/>
        </w:rPr>
      </w:pPr>
    </w:p>
    <w:p w14:paraId="205716D9" w14:textId="77777777" w:rsidR="00E31557" w:rsidRPr="00E31557" w:rsidRDefault="00E31557" w:rsidP="00E31557">
      <w:pPr>
        <w:pStyle w:val="ListParagraph"/>
        <w:rPr>
          <w:sz w:val="22"/>
          <w:szCs w:val="22"/>
        </w:rPr>
      </w:pPr>
    </w:p>
    <w:p w14:paraId="55C7C855" w14:textId="0965C584" w:rsidR="00B83115" w:rsidRPr="00692FBF" w:rsidRDefault="00954ECF" w:rsidP="00791D95">
      <w:pPr>
        <w:pStyle w:val="ListParagraph"/>
        <w:numPr>
          <w:ilvl w:val="0"/>
          <w:numId w:val="9"/>
        </w:numPr>
        <w:rPr>
          <w:sz w:val="22"/>
          <w:szCs w:val="22"/>
        </w:rPr>
      </w:pPr>
      <w:r>
        <w:t>DBE Prompt Payment Tracking Changes</w:t>
      </w:r>
      <w:r w:rsidR="003A68D0">
        <w:t xml:space="preserve"> </w:t>
      </w:r>
      <w:r w:rsidR="00710EAD">
        <w:t>(</w:t>
      </w:r>
      <w:r w:rsidR="00B83115">
        <w:t>M</w:t>
      </w:r>
      <w:r w:rsidR="00120591">
        <w:t>APA</w:t>
      </w:r>
      <w:r w:rsidR="00710EAD">
        <w:t>)</w:t>
      </w:r>
    </w:p>
    <w:p w14:paraId="4340C43A" w14:textId="0F029614" w:rsidR="00692FBF" w:rsidRDefault="00692FBF" w:rsidP="00692FBF">
      <w:pPr>
        <w:rPr>
          <w:sz w:val="22"/>
          <w:szCs w:val="22"/>
        </w:rPr>
      </w:pPr>
    </w:p>
    <w:p w14:paraId="714436F5" w14:textId="0768A6B0" w:rsidR="00692FBF" w:rsidRDefault="00692FBF" w:rsidP="00692FBF">
      <w:pPr>
        <w:ind w:left="720"/>
        <w:rPr>
          <w:color w:val="1F497D" w:themeColor="text2"/>
          <w:sz w:val="22"/>
          <w:szCs w:val="22"/>
        </w:rPr>
      </w:pPr>
      <w:r w:rsidRPr="00692FBF">
        <w:rPr>
          <w:color w:val="1F497D" w:themeColor="text2"/>
          <w:sz w:val="22"/>
          <w:szCs w:val="22"/>
        </w:rPr>
        <w:t>Proposed rulem</w:t>
      </w:r>
      <w:r>
        <w:rPr>
          <w:color w:val="1F497D" w:themeColor="text2"/>
          <w:sz w:val="22"/>
          <w:szCs w:val="22"/>
        </w:rPr>
        <w:t xml:space="preserve">aking includes language about tracking prompt payment to DBEs.  MoDOT ECR has created a spreadsheet to track monthly payments to DBEs for each contract.  Information would include contract #, estimate #, DBE firm name, DBE firm vendor #, amount paid, date paid, payment number to DBE, </w:t>
      </w:r>
      <w:r w:rsidR="00A420CB">
        <w:rPr>
          <w:color w:val="1F497D" w:themeColor="text2"/>
          <w:sz w:val="22"/>
          <w:szCs w:val="22"/>
        </w:rPr>
        <w:t>and in-progress or final completion status.  MoDOT would like to pilot the spreadsheet with some contractor volunteers.</w:t>
      </w:r>
    </w:p>
    <w:p w14:paraId="54CF738C" w14:textId="359091E2" w:rsidR="00A252EC" w:rsidRDefault="00A252EC" w:rsidP="00692FBF">
      <w:pPr>
        <w:ind w:left="720"/>
        <w:rPr>
          <w:color w:val="1F497D" w:themeColor="text2"/>
          <w:sz w:val="22"/>
          <w:szCs w:val="22"/>
        </w:rPr>
      </w:pPr>
    </w:p>
    <w:p w14:paraId="063964A5" w14:textId="67D64938" w:rsidR="00A252EC" w:rsidRDefault="00A252EC" w:rsidP="00692FBF">
      <w:pPr>
        <w:ind w:left="720"/>
        <w:rPr>
          <w:color w:val="FF0000"/>
          <w:sz w:val="22"/>
          <w:szCs w:val="22"/>
        </w:rPr>
      </w:pPr>
      <w:r>
        <w:rPr>
          <w:color w:val="FF0000"/>
          <w:sz w:val="22"/>
          <w:szCs w:val="22"/>
        </w:rPr>
        <w:t xml:space="preserve">Action Item:  Any MAPA contractor member wishing to participate in the pilot program for tracking DBE prompt payment should contact Zainab Jasim in the MoDOT ECR Division at </w:t>
      </w:r>
      <w:hyperlink r:id="rId8" w:history="1">
        <w:r w:rsidRPr="00296A8F">
          <w:rPr>
            <w:rStyle w:val="Hyperlink"/>
            <w:sz w:val="22"/>
            <w:szCs w:val="22"/>
          </w:rPr>
          <w:t>Zainab.jasim@modot.mo.gov</w:t>
        </w:r>
      </w:hyperlink>
    </w:p>
    <w:p w14:paraId="302F49AD" w14:textId="77777777" w:rsidR="00A252EC" w:rsidRPr="00692FBF" w:rsidRDefault="00A252EC" w:rsidP="00692FBF">
      <w:pPr>
        <w:ind w:left="720"/>
        <w:rPr>
          <w:color w:val="1F497D" w:themeColor="text2"/>
          <w:sz w:val="22"/>
          <w:szCs w:val="22"/>
        </w:rPr>
      </w:pPr>
    </w:p>
    <w:p w14:paraId="4AA8040B" w14:textId="77777777" w:rsidR="00E31557" w:rsidRPr="00E31557" w:rsidRDefault="00E31557" w:rsidP="00E31557">
      <w:pPr>
        <w:pStyle w:val="ListParagraph"/>
        <w:rPr>
          <w:sz w:val="22"/>
          <w:szCs w:val="22"/>
        </w:rPr>
      </w:pPr>
    </w:p>
    <w:p w14:paraId="32FB018A" w14:textId="481437A8" w:rsidR="00120591" w:rsidRPr="00A420CB" w:rsidRDefault="00954ECF" w:rsidP="003A68D0">
      <w:pPr>
        <w:pStyle w:val="ListParagraph"/>
        <w:numPr>
          <w:ilvl w:val="0"/>
          <w:numId w:val="9"/>
        </w:numPr>
        <w:rPr>
          <w:sz w:val="22"/>
          <w:szCs w:val="22"/>
        </w:rPr>
      </w:pPr>
      <w:r>
        <w:t>DBE Capacity with Increase Funding</w:t>
      </w:r>
      <w:r w:rsidR="004726DF" w:rsidRPr="004726DF">
        <w:t xml:space="preserve"> </w:t>
      </w:r>
      <w:r w:rsidR="00120591">
        <w:t>(MAPA)</w:t>
      </w:r>
    </w:p>
    <w:p w14:paraId="35A24216" w14:textId="69223315" w:rsidR="00A420CB" w:rsidRDefault="00A420CB" w:rsidP="00A420CB">
      <w:pPr>
        <w:rPr>
          <w:sz w:val="22"/>
          <w:szCs w:val="22"/>
        </w:rPr>
      </w:pPr>
    </w:p>
    <w:p w14:paraId="5D2FACFD" w14:textId="77777777" w:rsidR="0099475C" w:rsidRPr="0099475C" w:rsidRDefault="0099475C" w:rsidP="0099475C">
      <w:pPr>
        <w:ind w:left="720"/>
        <w:rPr>
          <w:color w:val="1F497D" w:themeColor="text2"/>
          <w:sz w:val="22"/>
          <w:szCs w:val="22"/>
        </w:rPr>
      </w:pPr>
      <w:r w:rsidRPr="0099475C">
        <w:rPr>
          <w:color w:val="1F497D" w:themeColor="text2"/>
          <w:sz w:val="22"/>
          <w:szCs w:val="22"/>
        </w:rPr>
        <w:t xml:space="preserve">MoDOT ECR will continue to evaluate DBE’s availability and capacity as DBE goals set for future projects.  With increased funding and increased prices, it could impact the availability of many </w:t>
      </w:r>
      <w:proofErr w:type="gramStart"/>
      <w:r w:rsidRPr="0099475C">
        <w:rPr>
          <w:color w:val="1F497D" w:themeColor="text2"/>
          <w:sz w:val="22"/>
          <w:szCs w:val="22"/>
        </w:rPr>
        <w:t>DBE’s</w:t>
      </w:r>
      <w:proofErr w:type="gramEnd"/>
      <w:r w:rsidRPr="0099475C">
        <w:rPr>
          <w:color w:val="1F497D" w:themeColor="text2"/>
          <w:sz w:val="22"/>
          <w:szCs w:val="22"/>
        </w:rPr>
        <w:t xml:space="preserve"> to bid on projects.  Specifically, as the price of liquid AC continues to increase.   MoDOT ECR will communicate with DBE firms, subcontractors and prime contractor regarding capacity at future outreach events. </w:t>
      </w:r>
    </w:p>
    <w:p w14:paraId="5041AA42" w14:textId="6335FB2B" w:rsidR="00B83115" w:rsidRDefault="00B83115" w:rsidP="00DC250C">
      <w:pPr>
        <w:rPr>
          <w:sz w:val="22"/>
          <w:szCs w:val="22"/>
        </w:rPr>
      </w:pPr>
    </w:p>
    <w:p w14:paraId="28F19C41" w14:textId="58043836" w:rsidR="0099475C" w:rsidRDefault="0099475C" w:rsidP="00DC250C">
      <w:pPr>
        <w:rPr>
          <w:sz w:val="22"/>
          <w:szCs w:val="22"/>
        </w:rPr>
      </w:pPr>
    </w:p>
    <w:p w14:paraId="34ED5E36" w14:textId="77777777" w:rsidR="0099475C" w:rsidRPr="00DC250C" w:rsidRDefault="0099475C" w:rsidP="00DC250C">
      <w:pPr>
        <w:rPr>
          <w:sz w:val="22"/>
          <w:szCs w:val="22"/>
        </w:rPr>
      </w:pPr>
    </w:p>
    <w:p w14:paraId="3B7AA6CB" w14:textId="77777777" w:rsidR="00E31557" w:rsidRPr="00E31557" w:rsidRDefault="00E31557" w:rsidP="00E31557">
      <w:pPr>
        <w:pStyle w:val="ListParagraph"/>
        <w:rPr>
          <w:sz w:val="22"/>
          <w:szCs w:val="22"/>
        </w:rPr>
      </w:pPr>
    </w:p>
    <w:p w14:paraId="130B028A" w14:textId="2AAFF5EF" w:rsidR="00E20539" w:rsidRPr="00CE5196" w:rsidRDefault="00954ECF" w:rsidP="000B3DC3">
      <w:pPr>
        <w:pStyle w:val="ListParagraph"/>
        <w:numPr>
          <w:ilvl w:val="0"/>
          <w:numId w:val="9"/>
        </w:numPr>
        <w:rPr>
          <w:sz w:val="22"/>
          <w:szCs w:val="22"/>
        </w:rPr>
      </w:pPr>
      <w:r>
        <w:lastRenderedPageBreak/>
        <w:t xml:space="preserve">Paving Quantities for FY23 and FY24 </w:t>
      </w:r>
      <w:r w:rsidR="003D0BBF">
        <w:t>(MAPA</w:t>
      </w:r>
      <w:r w:rsidR="00710EAD">
        <w:t>)</w:t>
      </w:r>
    </w:p>
    <w:p w14:paraId="79349891" w14:textId="48BB81D1" w:rsidR="00CE5196" w:rsidRDefault="00CE5196" w:rsidP="00CE5196">
      <w:pPr>
        <w:rPr>
          <w:sz w:val="22"/>
          <w:szCs w:val="22"/>
        </w:rPr>
      </w:pPr>
    </w:p>
    <w:p w14:paraId="5C701BF2" w14:textId="46C3E900" w:rsidR="00CE5196" w:rsidRDefault="00CE5196" w:rsidP="00CE5196">
      <w:pPr>
        <w:ind w:left="720"/>
        <w:rPr>
          <w:color w:val="1F497D" w:themeColor="text2"/>
          <w:sz w:val="22"/>
          <w:szCs w:val="22"/>
        </w:rPr>
      </w:pPr>
      <w:r w:rsidRPr="00CE5196">
        <w:rPr>
          <w:color w:val="1F497D" w:themeColor="text2"/>
          <w:sz w:val="22"/>
          <w:szCs w:val="22"/>
        </w:rPr>
        <w:t xml:space="preserve">MoDOT Design </w:t>
      </w:r>
      <w:r>
        <w:rPr>
          <w:color w:val="1F497D" w:themeColor="text2"/>
          <w:sz w:val="22"/>
          <w:szCs w:val="22"/>
        </w:rPr>
        <w:t>is still assembling estimated paving quantities for the next two FYs.</w:t>
      </w:r>
    </w:p>
    <w:p w14:paraId="64CE91DE" w14:textId="63BEEEED" w:rsidR="00CE5196" w:rsidRDefault="00CE5196" w:rsidP="00CE5196">
      <w:pPr>
        <w:ind w:left="720"/>
        <w:rPr>
          <w:color w:val="1F497D" w:themeColor="text2"/>
          <w:sz w:val="22"/>
          <w:szCs w:val="22"/>
        </w:rPr>
      </w:pPr>
    </w:p>
    <w:p w14:paraId="2EE0EEEA" w14:textId="2324E9B2" w:rsidR="00CE5196" w:rsidRPr="00CE5196" w:rsidRDefault="00CE5196" w:rsidP="00CE5196">
      <w:pPr>
        <w:ind w:left="720"/>
        <w:rPr>
          <w:color w:val="FF0000"/>
          <w:sz w:val="22"/>
          <w:szCs w:val="22"/>
        </w:rPr>
      </w:pPr>
      <w:r>
        <w:rPr>
          <w:color w:val="FF0000"/>
          <w:sz w:val="22"/>
          <w:szCs w:val="22"/>
        </w:rPr>
        <w:t xml:space="preserve">Action Item:  MoDOT will send MAPA estimated FY 23 and 24 paving quantities as soon as </w:t>
      </w:r>
      <w:r w:rsidR="00B73F48">
        <w:rPr>
          <w:color w:val="FF0000"/>
          <w:sz w:val="22"/>
          <w:szCs w:val="22"/>
        </w:rPr>
        <w:t>they become available</w:t>
      </w:r>
      <w:r>
        <w:rPr>
          <w:color w:val="FF0000"/>
          <w:sz w:val="22"/>
          <w:szCs w:val="22"/>
        </w:rPr>
        <w:t>.</w:t>
      </w:r>
    </w:p>
    <w:p w14:paraId="7B66530B" w14:textId="77777777" w:rsidR="003D0BBF" w:rsidRDefault="003D0BBF" w:rsidP="003D0BBF">
      <w:pPr>
        <w:pStyle w:val="ListParagraph"/>
      </w:pPr>
    </w:p>
    <w:p w14:paraId="7FD6F474" w14:textId="77777777" w:rsidR="00E31557" w:rsidRPr="00E31557" w:rsidRDefault="00E31557" w:rsidP="00E31557">
      <w:pPr>
        <w:pStyle w:val="ListParagraph"/>
        <w:rPr>
          <w:sz w:val="22"/>
          <w:szCs w:val="22"/>
        </w:rPr>
      </w:pPr>
    </w:p>
    <w:p w14:paraId="1B08B44B" w14:textId="6B5D92D5" w:rsidR="00791D95" w:rsidRPr="00CE5196" w:rsidRDefault="00954ECF" w:rsidP="008607A8">
      <w:pPr>
        <w:pStyle w:val="ListParagraph"/>
        <w:numPr>
          <w:ilvl w:val="0"/>
          <w:numId w:val="9"/>
        </w:numPr>
        <w:rPr>
          <w:sz w:val="22"/>
          <w:szCs w:val="22"/>
        </w:rPr>
      </w:pPr>
      <w:r>
        <w:t xml:space="preserve">FHWA Climate Challenge Grant </w:t>
      </w:r>
      <w:r w:rsidR="00791D95">
        <w:t>(M</w:t>
      </w:r>
      <w:r w:rsidR="004726DF">
        <w:t>APA</w:t>
      </w:r>
      <w:r w:rsidR="00791D95">
        <w:t>)</w:t>
      </w:r>
    </w:p>
    <w:p w14:paraId="23BC88E3" w14:textId="4D9B9069" w:rsidR="00CE5196" w:rsidRDefault="00CE5196" w:rsidP="00CE5196">
      <w:pPr>
        <w:rPr>
          <w:sz w:val="22"/>
          <w:szCs w:val="22"/>
        </w:rPr>
      </w:pPr>
    </w:p>
    <w:p w14:paraId="22F24CFC" w14:textId="6C03EE9E" w:rsidR="00E31557" w:rsidRPr="00E31557" w:rsidRDefault="00CE5196" w:rsidP="00CE5196">
      <w:pPr>
        <w:ind w:left="720"/>
        <w:rPr>
          <w:color w:val="1F497D" w:themeColor="text2"/>
        </w:rPr>
      </w:pPr>
      <w:r w:rsidRPr="00CE5196">
        <w:rPr>
          <w:color w:val="1F497D" w:themeColor="text2"/>
          <w:sz w:val="22"/>
          <w:szCs w:val="22"/>
        </w:rPr>
        <w:t>Dr Bill Bu</w:t>
      </w:r>
      <w:r>
        <w:rPr>
          <w:color w:val="1F497D" w:themeColor="text2"/>
          <w:sz w:val="22"/>
          <w:szCs w:val="22"/>
        </w:rPr>
        <w:t>ttlar</w:t>
      </w:r>
      <w:r w:rsidRPr="00CE5196">
        <w:rPr>
          <w:color w:val="1F497D" w:themeColor="text2"/>
          <w:sz w:val="22"/>
          <w:szCs w:val="22"/>
        </w:rPr>
        <w:t xml:space="preserve"> (UMC) and Dr. John </w:t>
      </w:r>
      <w:proofErr w:type="spellStart"/>
      <w:r>
        <w:rPr>
          <w:color w:val="1F497D" w:themeColor="text2"/>
          <w:sz w:val="22"/>
          <w:szCs w:val="22"/>
        </w:rPr>
        <w:t>K</w:t>
      </w:r>
      <w:r w:rsidRPr="00CE5196">
        <w:rPr>
          <w:color w:val="1F497D" w:themeColor="text2"/>
          <w:sz w:val="22"/>
          <w:szCs w:val="22"/>
        </w:rPr>
        <w:t>evern</w:t>
      </w:r>
      <w:proofErr w:type="spellEnd"/>
      <w:r w:rsidRPr="00CE5196">
        <w:rPr>
          <w:color w:val="1F497D" w:themeColor="text2"/>
          <w:sz w:val="22"/>
          <w:szCs w:val="22"/>
        </w:rPr>
        <w:t xml:space="preserve"> (UMKC) put together a proposal for FHWA </w:t>
      </w:r>
      <w:r w:rsidR="00E31557" w:rsidRPr="00E31557">
        <w:rPr>
          <w:color w:val="1F497D" w:themeColor="text2"/>
          <w:sz w:val="22"/>
          <w:szCs w:val="22"/>
        </w:rPr>
        <w:t xml:space="preserve">Climate Challenge Grant </w:t>
      </w:r>
      <w:r w:rsidRPr="00E31557">
        <w:rPr>
          <w:color w:val="1F497D" w:themeColor="text2"/>
          <w:sz w:val="22"/>
          <w:szCs w:val="22"/>
        </w:rPr>
        <w:t xml:space="preserve">funding </w:t>
      </w:r>
      <w:r w:rsidR="00220386">
        <w:rPr>
          <w:color w:val="1F497D" w:themeColor="text2"/>
          <w:sz w:val="22"/>
          <w:szCs w:val="22"/>
        </w:rPr>
        <w:t xml:space="preserve">on behalf of MoDOT </w:t>
      </w:r>
      <w:r w:rsidR="00E31557" w:rsidRPr="00E31557">
        <w:rPr>
          <w:color w:val="1F497D" w:themeColor="text2"/>
          <w:sz w:val="22"/>
          <w:szCs w:val="22"/>
        </w:rPr>
        <w:t xml:space="preserve">with the </w:t>
      </w:r>
      <w:r w:rsidR="00E31557" w:rsidRPr="00E31557">
        <w:rPr>
          <w:color w:val="1F497D" w:themeColor="text2"/>
        </w:rPr>
        <w:t>objectives to</w:t>
      </w:r>
    </w:p>
    <w:p w14:paraId="5308C6E0" w14:textId="21A4F4E3" w:rsidR="00E31557" w:rsidRPr="00E31557" w:rsidRDefault="00E31557" w:rsidP="00E31557">
      <w:pPr>
        <w:pStyle w:val="ListParagraph"/>
        <w:numPr>
          <w:ilvl w:val="0"/>
          <w:numId w:val="11"/>
        </w:numPr>
        <w:rPr>
          <w:color w:val="1F497D" w:themeColor="text2"/>
        </w:rPr>
      </w:pPr>
      <w:r w:rsidRPr="00E31557">
        <w:rPr>
          <w:color w:val="1F497D" w:themeColor="text2"/>
        </w:rPr>
        <w:t xml:space="preserve">assess the gaps in </w:t>
      </w:r>
      <w:r>
        <w:rPr>
          <w:color w:val="1F497D" w:themeColor="text2"/>
        </w:rPr>
        <w:t>environmental product declaration (</w:t>
      </w:r>
      <w:r w:rsidRPr="00E31557">
        <w:rPr>
          <w:color w:val="1F497D" w:themeColor="text2"/>
        </w:rPr>
        <w:t>EPD</w:t>
      </w:r>
      <w:r>
        <w:rPr>
          <w:color w:val="1F497D" w:themeColor="text2"/>
        </w:rPr>
        <w:t>)</w:t>
      </w:r>
      <w:r w:rsidRPr="00E31557">
        <w:rPr>
          <w:color w:val="1F497D" w:themeColor="text2"/>
        </w:rPr>
        <w:t xml:space="preserve"> availability and comparable EPD data within Missouri</w:t>
      </w:r>
    </w:p>
    <w:p w14:paraId="3F78205C" w14:textId="6B892651" w:rsidR="00E31557" w:rsidRPr="00E31557" w:rsidRDefault="00E31557" w:rsidP="00E31557">
      <w:pPr>
        <w:pStyle w:val="ListParagraph"/>
        <w:numPr>
          <w:ilvl w:val="0"/>
          <w:numId w:val="11"/>
        </w:numPr>
        <w:rPr>
          <w:color w:val="1F497D" w:themeColor="text2"/>
          <w:sz w:val="22"/>
          <w:szCs w:val="22"/>
        </w:rPr>
      </w:pPr>
      <w:r w:rsidRPr="00E31557">
        <w:rPr>
          <w:color w:val="1F497D" w:themeColor="text2"/>
        </w:rPr>
        <w:t>determine what EPD categories are most important to Missouri</w:t>
      </w:r>
    </w:p>
    <w:p w14:paraId="63FFE861" w14:textId="32B3CC2D" w:rsidR="00CE5196" w:rsidRPr="00E31557" w:rsidRDefault="00E31557" w:rsidP="00E31557">
      <w:pPr>
        <w:pStyle w:val="ListParagraph"/>
        <w:numPr>
          <w:ilvl w:val="0"/>
          <w:numId w:val="11"/>
        </w:numPr>
        <w:rPr>
          <w:color w:val="1F497D" w:themeColor="text2"/>
          <w:sz w:val="22"/>
          <w:szCs w:val="22"/>
        </w:rPr>
      </w:pPr>
      <w:r w:rsidRPr="00E31557">
        <w:rPr>
          <w:color w:val="1F497D" w:themeColor="text2"/>
        </w:rPr>
        <w:t>recommend to what degree and timeline Missouri DOT should adopt to use EPDs to improve the environmental footprint of our infrastructure</w:t>
      </w:r>
      <w:r w:rsidRPr="00E31557">
        <w:rPr>
          <w:color w:val="1F497D" w:themeColor="text2"/>
          <w:sz w:val="22"/>
          <w:szCs w:val="22"/>
        </w:rPr>
        <w:t xml:space="preserve"> </w:t>
      </w:r>
      <w:r w:rsidR="00CE5196" w:rsidRPr="00E31557">
        <w:rPr>
          <w:color w:val="1F497D" w:themeColor="text2"/>
          <w:sz w:val="22"/>
          <w:szCs w:val="22"/>
        </w:rPr>
        <w:t>baseline for environmental product declarations (EPD) for materials used or potentially used in Missouri.</w:t>
      </w:r>
    </w:p>
    <w:p w14:paraId="6465915B" w14:textId="27864626" w:rsidR="0053530B" w:rsidRDefault="0053530B" w:rsidP="00CE5196">
      <w:pPr>
        <w:ind w:left="720"/>
        <w:rPr>
          <w:color w:val="1F497D" w:themeColor="text2"/>
          <w:sz w:val="22"/>
          <w:szCs w:val="22"/>
        </w:rPr>
      </w:pPr>
    </w:p>
    <w:p w14:paraId="653DDD78" w14:textId="555A6F1E" w:rsidR="0053530B" w:rsidRPr="00CE5196" w:rsidRDefault="0053530B" w:rsidP="00CE5196">
      <w:pPr>
        <w:ind w:left="720"/>
        <w:rPr>
          <w:color w:val="1F497D" w:themeColor="text2"/>
          <w:sz w:val="22"/>
          <w:szCs w:val="22"/>
        </w:rPr>
      </w:pPr>
      <w:r>
        <w:rPr>
          <w:color w:val="1F497D" w:themeColor="text2"/>
          <w:sz w:val="22"/>
          <w:szCs w:val="22"/>
        </w:rPr>
        <w:t xml:space="preserve">The FHWA </w:t>
      </w:r>
      <w:r w:rsidR="00E31557">
        <w:rPr>
          <w:color w:val="1F497D" w:themeColor="text2"/>
          <w:sz w:val="22"/>
          <w:szCs w:val="22"/>
        </w:rPr>
        <w:t xml:space="preserve">weblink for this program is </w:t>
      </w:r>
      <w:hyperlink r:id="rId9" w:history="1">
        <w:r w:rsidR="00E31557">
          <w:rPr>
            <w:rStyle w:val="Hyperlink"/>
          </w:rPr>
          <w:t>https://www.fhwa.dot.gov/pavement/sustainability/</w:t>
        </w:r>
      </w:hyperlink>
    </w:p>
    <w:p w14:paraId="68C5B134" w14:textId="77777777" w:rsidR="003A68D0" w:rsidRPr="003A68D0" w:rsidRDefault="003A68D0" w:rsidP="003A68D0">
      <w:pPr>
        <w:pStyle w:val="ListParagraph"/>
        <w:rPr>
          <w:sz w:val="22"/>
          <w:szCs w:val="22"/>
        </w:rPr>
      </w:pPr>
    </w:p>
    <w:p w14:paraId="15F52B94" w14:textId="77777777" w:rsidR="00E31557" w:rsidRPr="00E31557" w:rsidRDefault="00E31557" w:rsidP="00E31557">
      <w:pPr>
        <w:pStyle w:val="ListParagraph"/>
        <w:rPr>
          <w:sz w:val="22"/>
          <w:szCs w:val="22"/>
        </w:rPr>
      </w:pPr>
    </w:p>
    <w:p w14:paraId="3FC0F6B7" w14:textId="746D08BD" w:rsidR="003A68D0" w:rsidRPr="00CE5196" w:rsidRDefault="00954ECF" w:rsidP="003A68D0">
      <w:pPr>
        <w:pStyle w:val="ListParagraph"/>
        <w:numPr>
          <w:ilvl w:val="0"/>
          <w:numId w:val="9"/>
        </w:numPr>
        <w:rPr>
          <w:sz w:val="22"/>
          <w:szCs w:val="22"/>
        </w:rPr>
      </w:pPr>
      <w:r>
        <w:t>Update on Action Items from May 3</w:t>
      </w:r>
      <w:r>
        <w:rPr>
          <w:vertAlign w:val="superscript"/>
        </w:rPr>
        <w:t>rd</w:t>
      </w:r>
      <w:r>
        <w:t xml:space="preserve"> Meeting</w:t>
      </w:r>
      <w:r w:rsidR="003A68D0">
        <w:t xml:space="preserve"> (MAPA)</w:t>
      </w:r>
    </w:p>
    <w:p w14:paraId="5551A8B8" w14:textId="5C356768" w:rsidR="00CE5196" w:rsidRDefault="00CE5196" w:rsidP="00CE5196">
      <w:pPr>
        <w:rPr>
          <w:sz w:val="22"/>
          <w:szCs w:val="22"/>
        </w:rPr>
      </w:pPr>
    </w:p>
    <w:p w14:paraId="07CCD9F3" w14:textId="4ABBE348" w:rsidR="00CE5196" w:rsidRPr="00D943BB" w:rsidRDefault="00D943BB" w:rsidP="00CE5196">
      <w:pPr>
        <w:ind w:left="720"/>
        <w:rPr>
          <w:color w:val="1F497D" w:themeColor="text2"/>
          <w:sz w:val="22"/>
          <w:szCs w:val="22"/>
        </w:rPr>
      </w:pPr>
      <w:r w:rsidRPr="00D943BB">
        <w:rPr>
          <w:color w:val="1F497D" w:themeColor="text2"/>
          <w:sz w:val="22"/>
          <w:szCs w:val="22"/>
        </w:rPr>
        <w:t>Section 403.15 has been revised to eliminate the pneumatic roller requirement for single-lift SP overlays.</w:t>
      </w:r>
    </w:p>
    <w:p w14:paraId="250B0C50" w14:textId="33E413A8" w:rsidR="00D943BB" w:rsidRPr="00D943BB" w:rsidRDefault="00D943BB" w:rsidP="00CE5196">
      <w:pPr>
        <w:ind w:left="720"/>
        <w:rPr>
          <w:color w:val="1F497D" w:themeColor="text2"/>
          <w:sz w:val="22"/>
          <w:szCs w:val="22"/>
        </w:rPr>
      </w:pPr>
    </w:p>
    <w:p w14:paraId="71283102" w14:textId="77777777" w:rsidR="00D943BB" w:rsidRPr="00D943BB" w:rsidRDefault="00D943BB" w:rsidP="00CE5196">
      <w:pPr>
        <w:ind w:left="720"/>
        <w:rPr>
          <w:color w:val="1F497D" w:themeColor="text2"/>
          <w:sz w:val="22"/>
          <w:szCs w:val="22"/>
        </w:rPr>
      </w:pPr>
      <w:r w:rsidRPr="00D943BB">
        <w:rPr>
          <w:color w:val="1F497D" w:themeColor="text2"/>
          <w:sz w:val="22"/>
          <w:szCs w:val="22"/>
        </w:rPr>
        <w:t>Singling out HFSTs on plans with mill/fill overlays is still pending.  The FHWA also needs to check on national concerns with environmental hazards of recycling HFSTs.</w:t>
      </w:r>
    </w:p>
    <w:p w14:paraId="7AA0E56F" w14:textId="77777777" w:rsidR="00D943BB" w:rsidRPr="00D943BB" w:rsidRDefault="00D943BB" w:rsidP="00CE5196">
      <w:pPr>
        <w:ind w:left="720"/>
        <w:rPr>
          <w:color w:val="1F497D" w:themeColor="text2"/>
          <w:sz w:val="22"/>
          <w:szCs w:val="22"/>
        </w:rPr>
      </w:pPr>
    </w:p>
    <w:p w14:paraId="476BFEAF" w14:textId="77777777" w:rsidR="00D943BB" w:rsidRPr="00D943BB" w:rsidRDefault="00D943BB" w:rsidP="00CE5196">
      <w:pPr>
        <w:ind w:left="720"/>
        <w:rPr>
          <w:color w:val="1F497D" w:themeColor="text2"/>
          <w:sz w:val="22"/>
          <w:szCs w:val="22"/>
        </w:rPr>
      </w:pPr>
      <w:r w:rsidRPr="00D943BB">
        <w:rPr>
          <w:color w:val="1F497D" w:themeColor="text2"/>
          <w:sz w:val="22"/>
          <w:szCs w:val="22"/>
        </w:rPr>
        <w:t>Districts were alerted to copy contractors when mix design approvals are sent to the CM Field Office.</w:t>
      </w:r>
    </w:p>
    <w:p w14:paraId="4FD2EF85" w14:textId="0388EDA3" w:rsidR="00D943BB" w:rsidRPr="00CE5196" w:rsidRDefault="00D943BB" w:rsidP="00D943BB">
      <w:pPr>
        <w:rPr>
          <w:sz w:val="22"/>
          <w:szCs w:val="22"/>
        </w:rPr>
      </w:pPr>
      <w:r>
        <w:rPr>
          <w:sz w:val="22"/>
          <w:szCs w:val="22"/>
        </w:rPr>
        <w:t xml:space="preserve"> </w:t>
      </w:r>
    </w:p>
    <w:p w14:paraId="56393392" w14:textId="77777777" w:rsidR="003A68D0" w:rsidRDefault="003A68D0" w:rsidP="00954ECF"/>
    <w:p w14:paraId="7CB210BE" w14:textId="1F4E4C09" w:rsidR="003A68D0" w:rsidRDefault="003A68D0" w:rsidP="00FB42FA">
      <w:pPr>
        <w:pStyle w:val="ListParagraph"/>
        <w:numPr>
          <w:ilvl w:val="0"/>
          <w:numId w:val="9"/>
        </w:numPr>
      </w:pPr>
      <w:r>
        <w:t>Design Standards Update (MoDOT)</w:t>
      </w:r>
    </w:p>
    <w:p w14:paraId="19C7C200" w14:textId="4EF9A6F3" w:rsidR="00CE5196" w:rsidRDefault="00CE5196" w:rsidP="00CE5196"/>
    <w:p w14:paraId="5A869929" w14:textId="3782FFCF" w:rsidR="00CE5196" w:rsidRPr="00016A05" w:rsidRDefault="00016A05" w:rsidP="00CE5196">
      <w:pPr>
        <w:ind w:left="720"/>
        <w:rPr>
          <w:color w:val="1F497D" w:themeColor="text2"/>
        </w:rPr>
      </w:pPr>
      <w:r w:rsidRPr="00016A05">
        <w:rPr>
          <w:color w:val="1F497D" w:themeColor="text2"/>
        </w:rPr>
        <w:t>See handout.</w:t>
      </w:r>
      <w:r w:rsidR="00537853">
        <w:rPr>
          <w:color w:val="1F497D" w:themeColor="text2"/>
        </w:rPr>
        <w:t xml:space="preserve">  Type A, B and C lights no longer required on barricades and channelizers.  DBE General Provision amended to reiterate that payment will not be made for work not performed by the listed DBE.  </w:t>
      </w:r>
      <w:r w:rsidR="00520E26">
        <w:rPr>
          <w:color w:val="1F497D" w:themeColor="text2"/>
        </w:rPr>
        <w:t>AC index for mix placed on first of month may be combined with current month to accommodate financial accounting termini.  As mentioned in the action item update, the pneumatic roller requirement has been removed for single-lift SP overlays.</w:t>
      </w:r>
    </w:p>
    <w:p w14:paraId="1ED7C5CD" w14:textId="11441B5B" w:rsidR="0000381D" w:rsidRDefault="0000381D" w:rsidP="001F3EBF"/>
    <w:p w14:paraId="7CDA2E73" w14:textId="5934DB0D" w:rsidR="0099475C" w:rsidRDefault="0099475C" w:rsidP="001F3EBF"/>
    <w:p w14:paraId="5BC46381" w14:textId="77777777" w:rsidR="0099475C" w:rsidRDefault="0099475C" w:rsidP="001F3EBF"/>
    <w:p w14:paraId="719DB66C" w14:textId="77777777" w:rsidR="00520E26" w:rsidRDefault="00520E26" w:rsidP="00520E26">
      <w:pPr>
        <w:pStyle w:val="ListParagraph"/>
      </w:pPr>
    </w:p>
    <w:p w14:paraId="52A4D6AD" w14:textId="57FF20E4" w:rsidR="0064693E" w:rsidRDefault="0064693E" w:rsidP="0094135C">
      <w:pPr>
        <w:pStyle w:val="ListParagraph"/>
        <w:numPr>
          <w:ilvl w:val="0"/>
          <w:numId w:val="9"/>
        </w:numPr>
      </w:pPr>
      <w:r>
        <w:lastRenderedPageBreak/>
        <w:t>Other items</w:t>
      </w:r>
    </w:p>
    <w:p w14:paraId="659B260C" w14:textId="082F9EC0" w:rsidR="00016A05" w:rsidRDefault="00016A05" w:rsidP="00016A05"/>
    <w:p w14:paraId="08BFDC1F" w14:textId="575B1F06" w:rsidR="00520E26" w:rsidRDefault="0055326C" w:rsidP="00016A05">
      <w:pPr>
        <w:ind w:left="720"/>
        <w:rPr>
          <w:color w:val="1F497D" w:themeColor="text2"/>
        </w:rPr>
      </w:pPr>
      <w:r>
        <w:rPr>
          <w:color w:val="1F497D" w:themeColor="text2"/>
        </w:rPr>
        <w:t xml:space="preserve">The </w:t>
      </w:r>
      <w:proofErr w:type="gramStart"/>
      <w:r>
        <w:rPr>
          <w:color w:val="1F497D" w:themeColor="text2"/>
        </w:rPr>
        <w:t>Districts</w:t>
      </w:r>
      <w:proofErr w:type="gramEnd"/>
      <w:r>
        <w:rPr>
          <w:color w:val="1F497D" w:themeColor="text2"/>
        </w:rPr>
        <w:t xml:space="preserve"> are trying to be more selective about using lump sum traffic control pay items for simpler projects that will likely require less modification during construction.</w:t>
      </w:r>
    </w:p>
    <w:p w14:paraId="2B50DB70" w14:textId="77777777" w:rsidR="00520E26" w:rsidRDefault="00520E26" w:rsidP="00016A05">
      <w:pPr>
        <w:ind w:left="720"/>
        <w:rPr>
          <w:color w:val="1F497D" w:themeColor="text2"/>
        </w:rPr>
      </w:pPr>
    </w:p>
    <w:p w14:paraId="25E9E778" w14:textId="436C42F0" w:rsidR="00016A05" w:rsidRPr="00016A05" w:rsidRDefault="00016A05" w:rsidP="00016A05">
      <w:pPr>
        <w:ind w:left="720"/>
        <w:rPr>
          <w:color w:val="1F497D" w:themeColor="text2"/>
        </w:rPr>
      </w:pPr>
      <w:r w:rsidRPr="00016A05">
        <w:rPr>
          <w:color w:val="1F497D" w:themeColor="text2"/>
        </w:rPr>
        <w:t>Briefing provided about discussions on BMD and IC/IR implementation f</w:t>
      </w:r>
      <w:r>
        <w:rPr>
          <w:color w:val="1F497D" w:themeColor="text2"/>
        </w:rPr>
        <w:t>ro</w:t>
      </w:r>
      <w:r w:rsidRPr="00016A05">
        <w:rPr>
          <w:color w:val="1F497D" w:themeColor="text2"/>
        </w:rPr>
        <w:t xml:space="preserve">m morning Bit Team meeting.  </w:t>
      </w:r>
    </w:p>
    <w:p w14:paraId="5B145085" w14:textId="44DA4A78" w:rsidR="00E20539" w:rsidRDefault="00E20539" w:rsidP="00E20539">
      <w:pPr>
        <w:rPr>
          <w:sz w:val="22"/>
          <w:szCs w:val="22"/>
        </w:rPr>
      </w:pPr>
    </w:p>
    <w:p w14:paraId="28945F80" w14:textId="77777777" w:rsidR="00B83115" w:rsidRDefault="00B83115" w:rsidP="00E20539">
      <w:pPr>
        <w:rPr>
          <w:b/>
          <w:bCs/>
          <w:u w:val="single"/>
        </w:rPr>
      </w:pPr>
    </w:p>
    <w:p w14:paraId="144E8E36" w14:textId="0BE83107" w:rsidR="00770C33" w:rsidRPr="00CA4EE9" w:rsidRDefault="00E20539" w:rsidP="00B430BD">
      <w:pPr>
        <w:rPr>
          <w:b/>
        </w:rPr>
      </w:pPr>
      <w:r>
        <w:rPr>
          <w:b/>
          <w:bCs/>
        </w:rPr>
        <w:t>Next</w:t>
      </w:r>
      <w:r w:rsidR="00B430BD">
        <w:rPr>
          <w:b/>
          <w:bCs/>
        </w:rPr>
        <w:t xml:space="preserve"> Meeting Date:</w:t>
      </w:r>
      <w:r>
        <w:rPr>
          <w:b/>
          <w:bCs/>
        </w:rPr>
        <w:t xml:space="preserve">  </w:t>
      </w:r>
      <w:r w:rsidR="00954ECF">
        <w:t>November 1</w:t>
      </w:r>
      <w:r w:rsidR="00CC1DBC" w:rsidRPr="00CC1DBC">
        <w:t>, 2022</w:t>
      </w:r>
    </w:p>
    <w:sectPr w:rsidR="00770C33" w:rsidRPr="00CA4EE9"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3E1"/>
    <w:multiLevelType w:val="hybridMultilevel"/>
    <w:tmpl w:val="C0423CC0"/>
    <w:lvl w:ilvl="0" w:tplc="02C22E4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476A45"/>
    <w:multiLevelType w:val="hybridMultilevel"/>
    <w:tmpl w:val="C97C155E"/>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F1562"/>
    <w:multiLevelType w:val="hybridMultilevel"/>
    <w:tmpl w:val="26A87002"/>
    <w:lvl w:ilvl="0" w:tplc="0FC42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30283">
    <w:abstractNumId w:val="2"/>
  </w:num>
  <w:num w:numId="2" w16cid:durableId="382750704">
    <w:abstractNumId w:val="8"/>
  </w:num>
  <w:num w:numId="3" w16cid:durableId="10299169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4361301">
    <w:abstractNumId w:val="4"/>
  </w:num>
  <w:num w:numId="5" w16cid:durableId="690029427">
    <w:abstractNumId w:val="9"/>
  </w:num>
  <w:num w:numId="6" w16cid:durableId="12158546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1814652">
    <w:abstractNumId w:val="10"/>
  </w:num>
  <w:num w:numId="8" w16cid:durableId="926689317">
    <w:abstractNumId w:val="6"/>
  </w:num>
  <w:num w:numId="9" w16cid:durableId="395906949">
    <w:abstractNumId w:val="3"/>
  </w:num>
  <w:num w:numId="10" w16cid:durableId="2131626935">
    <w:abstractNumId w:val="0"/>
  </w:num>
  <w:num w:numId="11" w16cid:durableId="2144498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16A05"/>
    <w:rsid w:val="0003515C"/>
    <w:rsid w:val="00041D3D"/>
    <w:rsid w:val="00044FC5"/>
    <w:rsid w:val="00064C54"/>
    <w:rsid w:val="0008300A"/>
    <w:rsid w:val="0008547B"/>
    <w:rsid w:val="00085EFC"/>
    <w:rsid w:val="000C0F9E"/>
    <w:rsid w:val="00111BE2"/>
    <w:rsid w:val="00114BEC"/>
    <w:rsid w:val="00120591"/>
    <w:rsid w:val="00130CD9"/>
    <w:rsid w:val="00130F32"/>
    <w:rsid w:val="00132A73"/>
    <w:rsid w:val="0013562F"/>
    <w:rsid w:val="001506A6"/>
    <w:rsid w:val="00153A8E"/>
    <w:rsid w:val="00160E0F"/>
    <w:rsid w:val="001879BE"/>
    <w:rsid w:val="001A7930"/>
    <w:rsid w:val="001B59AE"/>
    <w:rsid w:val="001C3C13"/>
    <w:rsid w:val="001C5243"/>
    <w:rsid w:val="001D64B1"/>
    <w:rsid w:val="001F1097"/>
    <w:rsid w:val="001F3EBF"/>
    <w:rsid w:val="001F7E84"/>
    <w:rsid w:val="00201595"/>
    <w:rsid w:val="00203800"/>
    <w:rsid w:val="002145C3"/>
    <w:rsid w:val="00220386"/>
    <w:rsid w:val="002206B9"/>
    <w:rsid w:val="00221F0E"/>
    <w:rsid w:val="0023200E"/>
    <w:rsid w:val="00241E56"/>
    <w:rsid w:val="002549AF"/>
    <w:rsid w:val="00290C73"/>
    <w:rsid w:val="00297501"/>
    <w:rsid w:val="002A15C2"/>
    <w:rsid w:val="002D4266"/>
    <w:rsid w:val="002E45E7"/>
    <w:rsid w:val="002E6C05"/>
    <w:rsid w:val="00330D1C"/>
    <w:rsid w:val="00347716"/>
    <w:rsid w:val="00381010"/>
    <w:rsid w:val="003856EB"/>
    <w:rsid w:val="00390042"/>
    <w:rsid w:val="00395514"/>
    <w:rsid w:val="003979ED"/>
    <w:rsid w:val="003A68D0"/>
    <w:rsid w:val="003A7B88"/>
    <w:rsid w:val="003B1CB5"/>
    <w:rsid w:val="003B26D0"/>
    <w:rsid w:val="003B4DC9"/>
    <w:rsid w:val="003C3C0C"/>
    <w:rsid w:val="003D0BBF"/>
    <w:rsid w:val="003F1477"/>
    <w:rsid w:val="003F63D8"/>
    <w:rsid w:val="00424D4C"/>
    <w:rsid w:val="00446915"/>
    <w:rsid w:val="004533F9"/>
    <w:rsid w:val="00456506"/>
    <w:rsid w:val="004726DF"/>
    <w:rsid w:val="0048039B"/>
    <w:rsid w:val="004829F0"/>
    <w:rsid w:val="004D7F37"/>
    <w:rsid w:val="00510E66"/>
    <w:rsid w:val="00520E26"/>
    <w:rsid w:val="0053530B"/>
    <w:rsid w:val="00537853"/>
    <w:rsid w:val="005428A1"/>
    <w:rsid w:val="0055326C"/>
    <w:rsid w:val="00577EC0"/>
    <w:rsid w:val="005C002B"/>
    <w:rsid w:val="005D3663"/>
    <w:rsid w:val="005D606F"/>
    <w:rsid w:val="005E02A0"/>
    <w:rsid w:val="005E0656"/>
    <w:rsid w:val="005F3653"/>
    <w:rsid w:val="00614F68"/>
    <w:rsid w:val="006447D3"/>
    <w:rsid w:val="00644D2C"/>
    <w:rsid w:val="0064693E"/>
    <w:rsid w:val="00692FBF"/>
    <w:rsid w:val="006A1941"/>
    <w:rsid w:val="006F078C"/>
    <w:rsid w:val="006F45BB"/>
    <w:rsid w:val="00710EAD"/>
    <w:rsid w:val="007125BF"/>
    <w:rsid w:val="00723EC9"/>
    <w:rsid w:val="00742554"/>
    <w:rsid w:val="00770C33"/>
    <w:rsid w:val="007834F7"/>
    <w:rsid w:val="00791D95"/>
    <w:rsid w:val="007B47E3"/>
    <w:rsid w:val="007C201D"/>
    <w:rsid w:val="007C3101"/>
    <w:rsid w:val="007E3193"/>
    <w:rsid w:val="007E4CCF"/>
    <w:rsid w:val="00826B03"/>
    <w:rsid w:val="0083316A"/>
    <w:rsid w:val="00873B81"/>
    <w:rsid w:val="008842DE"/>
    <w:rsid w:val="008857A3"/>
    <w:rsid w:val="00885F11"/>
    <w:rsid w:val="008E52CE"/>
    <w:rsid w:val="00906E4D"/>
    <w:rsid w:val="00916CA9"/>
    <w:rsid w:val="009410C1"/>
    <w:rsid w:val="0094135C"/>
    <w:rsid w:val="00954ECF"/>
    <w:rsid w:val="0099475C"/>
    <w:rsid w:val="009C4730"/>
    <w:rsid w:val="009D03AE"/>
    <w:rsid w:val="00A10754"/>
    <w:rsid w:val="00A252EC"/>
    <w:rsid w:val="00A31047"/>
    <w:rsid w:val="00A311CA"/>
    <w:rsid w:val="00A40314"/>
    <w:rsid w:val="00A420CB"/>
    <w:rsid w:val="00A4408C"/>
    <w:rsid w:val="00A74E90"/>
    <w:rsid w:val="00A8455C"/>
    <w:rsid w:val="00A96459"/>
    <w:rsid w:val="00AE0DB2"/>
    <w:rsid w:val="00B06C63"/>
    <w:rsid w:val="00B34685"/>
    <w:rsid w:val="00B430BD"/>
    <w:rsid w:val="00B73F48"/>
    <w:rsid w:val="00B83115"/>
    <w:rsid w:val="00B86B23"/>
    <w:rsid w:val="00B93387"/>
    <w:rsid w:val="00BA7DA6"/>
    <w:rsid w:val="00BB16AC"/>
    <w:rsid w:val="00BB5891"/>
    <w:rsid w:val="00BB74B8"/>
    <w:rsid w:val="00BD79D3"/>
    <w:rsid w:val="00BE1537"/>
    <w:rsid w:val="00BF104E"/>
    <w:rsid w:val="00BF4ED9"/>
    <w:rsid w:val="00C04CB6"/>
    <w:rsid w:val="00C20C5E"/>
    <w:rsid w:val="00C43AD6"/>
    <w:rsid w:val="00C514B6"/>
    <w:rsid w:val="00C52440"/>
    <w:rsid w:val="00C5612B"/>
    <w:rsid w:val="00C602B0"/>
    <w:rsid w:val="00C63353"/>
    <w:rsid w:val="00C930C6"/>
    <w:rsid w:val="00CA4EE9"/>
    <w:rsid w:val="00CA6322"/>
    <w:rsid w:val="00CC1DBC"/>
    <w:rsid w:val="00CE5196"/>
    <w:rsid w:val="00D105D2"/>
    <w:rsid w:val="00D13D28"/>
    <w:rsid w:val="00D20EF0"/>
    <w:rsid w:val="00D77FB6"/>
    <w:rsid w:val="00D846AF"/>
    <w:rsid w:val="00D943BB"/>
    <w:rsid w:val="00DA1D8F"/>
    <w:rsid w:val="00DA6CEC"/>
    <w:rsid w:val="00DC250C"/>
    <w:rsid w:val="00DD6C7A"/>
    <w:rsid w:val="00DF1887"/>
    <w:rsid w:val="00E06352"/>
    <w:rsid w:val="00E133A5"/>
    <w:rsid w:val="00E13E9F"/>
    <w:rsid w:val="00E20539"/>
    <w:rsid w:val="00E31557"/>
    <w:rsid w:val="00E71AB2"/>
    <w:rsid w:val="00EA431F"/>
    <w:rsid w:val="00F21259"/>
    <w:rsid w:val="00F45B00"/>
    <w:rsid w:val="00F57DBA"/>
    <w:rsid w:val="00F93C66"/>
    <w:rsid w:val="00F973B7"/>
    <w:rsid w:val="00FB33CD"/>
    <w:rsid w:val="00FB42FA"/>
    <w:rsid w:val="00FD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character" w:styleId="Hyperlink">
    <w:name w:val="Hyperlink"/>
    <w:basedOn w:val="DefaultParagraphFont"/>
    <w:unhideWhenUsed/>
    <w:rsid w:val="00A252EC"/>
    <w:rPr>
      <w:color w:val="0000FF" w:themeColor="hyperlink"/>
      <w:u w:val="single"/>
    </w:rPr>
  </w:style>
  <w:style w:type="character" w:styleId="UnresolvedMention">
    <w:name w:val="Unresolved Mention"/>
    <w:basedOn w:val="DefaultParagraphFont"/>
    <w:uiPriority w:val="99"/>
    <w:semiHidden/>
    <w:unhideWhenUsed/>
    <w:rsid w:val="00A2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534926243">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inab.jasim@modot.mo.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fhwa.dot.gov/pavement/sustainability/__;!!B-WfeG7HSw!GKjgm8yugs41dUfHrgjdc3ORHv4u7na2OmqyLDZ5c12ZcH45ITIjfROitmbwkQEvm3d33TTx9H5qfVVst9d1A3Q-cU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15D442F72E4C8A3EF428596F7F4F" ma:contentTypeVersion="0" ma:contentTypeDescription="Create a new document." ma:contentTypeScope="" ma:versionID="715529cfa935135d9b74b1cdd212647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2.xml><?xml version="1.0" encoding="utf-8"?>
<ds:datastoreItem xmlns:ds="http://schemas.openxmlformats.org/officeDocument/2006/customXml" ds:itemID="{A8AD9D2A-0999-40DC-AF80-BE0A474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3593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MAPA</cp:lastModifiedBy>
  <cp:revision>2</cp:revision>
  <cp:lastPrinted>2022-04-29T17:26:00Z</cp:lastPrinted>
  <dcterms:created xsi:type="dcterms:W3CDTF">2022-08-16T20:23:00Z</dcterms:created>
  <dcterms:modified xsi:type="dcterms:W3CDTF">2022-08-16T20:23:00Z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0x010100B7EE15D442F72E4C8A3EF428596F7F4F</vt:lpwstr>
  </property>
</Properties>
</file>