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8E80E" w14:textId="77777777" w:rsidR="00770C33" w:rsidRDefault="002A15C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B27B2C" wp14:editId="23825177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5829300" cy="981075"/>
                <wp:effectExtent l="38100" t="38100" r="38100" b="476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172AC" w14:textId="60D1972C" w:rsidR="00D77FB6" w:rsidRDefault="00A11B53">
                            <w:pPr>
                              <w:pStyle w:val="Title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Minutes</w:t>
                            </w:r>
                          </w:p>
                          <w:p w14:paraId="0C08E7B6" w14:textId="77777777" w:rsidR="00D77FB6" w:rsidRDefault="00D77FB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MAPA / MoDOT Quarterly Meeting</w:t>
                            </w:r>
                          </w:p>
                          <w:p w14:paraId="4566D58E" w14:textId="1752EDD2" w:rsidR="00D77FB6" w:rsidRDefault="00F70CC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February 6</w:t>
                            </w:r>
                            <w:r w:rsidR="00D77FB6">
                              <w:rPr>
                                <w:b/>
                              </w:rPr>
                              <w:t>, 202</w:t>
                            </w:r>
                            <w:r w:rsidR="00257C85">
                              <w:rPr>
                                <w:b/>
                              </w:rPr>
                              <w:t>3</w:t>
                            </w:r>
                            <w:r w:rsidR="00D77FB6">
                              <w:rPr>
                                <w:b/>
                              </w:rPr>
                              <w:t xml:space="preserve"> / 1:00 – 3:00 p.m.</w:t>
                            </w:r>
                          </w:p>
                          <w:p w14:paraId="5C7874FB" w14:textId="2A4D425E" w:rsidR="00D77FB6" w:rsidRDefault="00D77FB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Videoconference</w:t>
                            </w:r>
                            <w:r w:rsidR="004726DF">
                              <w:rPr>
                                <w:b/>
                              </w:rPr>
                              <w:t xml:space="preserve"> / In-person</w:t>
                            </w:r>
                          </w:p>
                          <w:p w14:paraId="142CB912" w14:textId="77777777" w:rsidR="00D77FB6" w:rsidRDefault="00D77F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27B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9pt;width:459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" strokeweight="6pt">
                <v:stroke linestyle="thickBetweenThin"/>
                <v:textbox>
                  <w:txbxContent>
                    <w:p w14:paraId="283172AC" w14:textId="60D1972C" w:rsidR="00D77FB6" w:rsidRDefault="00A11B53">
                      <w:pPr>
                        <w:pStyle w:val="Title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>Minutes</w:t>
                      </w:r>
                    </w:p>
                    <w:p w14:paraId="0C08E7B6" w14:textId="77777777" w:rsidR="00D77FB6" w:rsidRDefault="00D77FB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MAPA / MoDOT Quarterly Meeting</w:t>
                      </w:r>
                    </w:p>
                    <w:p w14:paraId="4566D58E" w14:textId="1752EDD2" w:rsidR="00D77FB6" w:rsidRDefault="00F70CC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February 6</w:t>
                      </w:r>
                      <w:r w:rsidR="00D77FB6">
                        <w:rPr>
                          <w:b/>
                        </w:rPr>
                        <w:t>, 202</w:t>
                      </w:r>
                      <w:r w:rsidR="00257C85">
                        <w:rPr>
                          <w:b/>
                        </w:rPr>
                        <w:t>3</w:t>
                      </w:r>
                      <w:r w:rsidR="00D77FB6">
                        <w:rPr>
                          <w:b/>
                        </w:rPr>
                        <w:t xml:space="preserve"> / 1:00 – 3:00 p.m.</w:t>
                      </w:r>
                    </w:p>
                    <w:p w14:paraId="5C7874FB" w14:textId="2A4D425E" w:rsidR="00D77FB6" w:rsidRDefault="00D77FB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Videoconference</w:t>
                      </w:r>
                      <w:r w:rsidR="004726DF">
                        <w:rPr>
                          <w:b/>
                        </w:rPr>
                        <w:t xml:space="preserve"> / In-person</w:t>
                      </w:r>
                    </w:p>
                    <w:p w14:paraId="142CB912" w14:textId="77777777" w:rsidR="00D77FB6" w:rsidRDefault="00D77FB6"/>
                  </w:txbxContent>
                </v:textbox>
              </v:shape>
            </w:pict>
          </mc:Fallback>
        </mc:AlternateContent>
      </w:r>
    </w:p>
    <w:p w14:paraId="2E6B6363" w14:textId="77777777" w:rsidR="00770C33" w:rsidRDefault="00770C33"/>
    <w:p w14:paraId="68D0A202" w14:textId="77777777" w:rsidR="00770C33" w:rsidRDefault="00770C33"/>
    <w:p w14:paraId="26E406C9" w14:textId="77777777" w:rsidR="00770C33" w:rsidRDefault="00770C33"/>
    <w:p w14:paraId="14E5219E" w14:textId="77777777" w:rsidR="00770C33" w:rsidRDefault="00770C33"/>
    <w:p w14:paraId="354760A6" w14:textId="77777777" w:rsidR="00770C33" w:rsidRDefault="00770C33"/>
    <w:p w14:paraId="29DFBB90" w14:textId="77777777" w:rsidR="00826B03" w:rsidRDefault="00826B03" w:rsidP="00290C73">
      <w:pPr>
        <w:jc w:val="center"/>
        <w:rPr>
          <w:b/>
          <w:sz w:val="28"/>
          <w:szCs w:val="28"/>
        </w:rPr>
      </w:pPr>
    </w:p>
    <w:p w14:paraId="7B90A879" w14:textId="7978C9B9" w:rsidR="002E45E7" w:rsidRPr="00290C73" w:rsidRDefault="00614F68" w:rsidP="00290C73">
      <w:pPr>
        <w:jc w:val="center"/>
        <w:rPr>
          <w:b/>
          <w:sz w:val="28"/>
          <w:szCs w:val="28"/>
        </w:rPr>
      </w:pPr>
      <w:r w:rsidRPr="00290C73">
        <w:rPr>
          <w:b/>
          <w:sz w:val="28"/>
          <w:szCs w:val="28"/>
        </w:rPr>
        <w:t>Agenda Items</w:t>
      </w:r>
    </w:p>
    <w:p w14:paraId="779C3339" w14:textId="77777777" w:rsidR="00241E56" w:rsidRPr="007E4CCF" w:rsidRDefault="00241E56" w:rsidP="00241E56">
      <w:r>
        <w:t> </w:t>
      </w:r>
    </w:p>
    <w:p w14:paraId="68B945C6" w14:textId="77777777" w:rsidR="00B83115" w:rsidRDefault="00B83115" w:rsidP="00B83115">
      <w:r>
        <w:t> </w:t>
      </w:r>
    </w:p>
    <w:p w14:paraId="03FA2D42" w14:textId="3C22FD03" w:rsidR="00AA1C57" w:rsidRDefault="00114B02" w:rsidP="00744796">
      <w:pPr>
        <w:pStyle w:val="ListParagraph"/>
        <w:numPr>
          <w:ilvl w:val="0"/>
          <w:numId w:val="9"/>
        </w:numPr>
      </w:pPr>
      <w:r>
        <w:t>MoDOT Design Standards Update</w:t>
      </w:r>
    </w:p>
    <w:p w14:paraId="34C01D77" w14:textId="77777777" w:rsidR="00114B02" w:rsidRDefault="00114B02" w:rsidP="006754E8">
      <w:pPr>
        <w:pStyle w:val="ListParagraph"/>
      </w:pPr>
    </w:p>
    <w:p w14:paraId="3DF60D5C" w14:textId="3E994BB5" w:rsidR="00A11B53" w:rsidRPr="00A11B53" w:rsidRDefault="00A11B53" w:rsidP="006754E8">
      <w:pPr>
        <w:pStyle w:val="ListParagraph"/>
        <w:rPr>
          <w:color w:val="4F81BD" w:themeColor="accent1"/>
        </w:rPr>
      </w:pPr>
      <w:r>
        <w:rPr>
          <w:color w:val="4F81BD" w:themeColor="accent1"/>
        </w:rPr>
        <w:t xml:space="preserve">See </w:t>
      </w:r>
      <w:r w:rsidR="00F85FAE">
        <w:rPr>
          <w:color w:val="4F81BD" w:themeColor="accent1"/>
        </w:rPr>
        <w:t xml:space="preserve">attached </w:t>
      </w:r>
      <w:r>
        <w:rPr>
          <w:color w:val="4F81BD" w:themeColor="accent1"/>
        </w:rPr>
        <w:t>handout.</w:t>
      </w:r>
    </w:p>
    <w:p w14:paraId="67DF1219" w14:textId="77777777" w:rsidR="00A11B53" w:rsidRDefault="00A11B53" w:rsidP="006754E8">
      <w:pPr>
        <w:pStyle w:val="ListParagraph"/>
      </w:pPr>
    </w:p>
    <w:p w14:paraId="3BE4D27A" w14:textId="4FB0D504" w:rsidR="00EF5D4F" w:rsidRDefault="00D362B9" w:rsidP="00EF4C50">
      <w:pPr>
        <w:pStyle w:val="ListParagraph"/>
        <w:numPr>
          <w:ilvl w:val="0"/>
          <w:numId w:val="9"/>
        </w:numPr>
      </w:pPr>
      <w:r>
        <w:t>Update on DBE Availability Study</w:t>
      </w:r>
    </w:p>
    <w:p w14:paraId="78309266" w14:textId="77777777" w:rsidR="00EF5D4F" w:rsidRDefault="00EF5D4F" w:rsidP="00645EA7">
      <w:pPr>
        <w:ind w:left="720"/>
      </w:pPr>
    </w:p>
    <w:p w14:paraId="7FDA7A45" w14:textId="1D69D658" w:rsidR="00645EA7" w:rsidRDefault="00645EA7" w:rsidP="00645EA7">
      <w:pPr>
        <w:ind w:left="720"/>
        <w:rPr>
          <w:color w:val="4F81BD" w:themeColor="accent1"/>
        </w:rPr>
      </w:pPr>
      <w:r>
        <w:rPr>
          <w:color w:val="4F81BD" w:themeColor="accent1"/>
        </w:rPr>
        <w:t>See attached letter</w:t>
      </w:r>
      <w:r w:rsidR="00FC785A">
        <w:rPr>
          <w:color w:val="4F81BD" w:themeColor="accent1"/>
        </w:rPr>
        <w:t xml:space="preserve"> summarizing the public meetings scheduled for February.</w:t>
      </w:r>
    </w:p>
    <w:p w14:paraId="34E60F31" w14:textId="77777777" w:rsidR="00FC785A" w:rsidRDefault="00FC785A" w:rsidP="00645EA7">
      <w:pPr>
        <w:ind w:left="720"/>
        <w:rPr>
          <w:color w:val="4F81BD" w:themeColor="accent1"/>
        </w:rPr>
      </w:pPr>
    </w:p>
    <w:p w14:paraId="03C3A426" w14:textId="2F3A0B3F" w:rsidR="00FC785A" w:rsidRPr="00645EA7" w:rsidRDefault="00FC785A" w:rsidP="00645EA7">
      <w:pPr>
        <w:ind w:left="720"/>
        <w:rPr>
          <w:color w:val="4F81BD" w:themeColor="accent1"/>
        </w:rPr>
      </w:pPr>
      <w:r>
        <w:rPr>
          <w:color w:val="4F81BD" w:themeColor="accent1"/>
        </w:rPr>
        <w:t>Update, a copy of the draft</w:t>
      </w:r>
      <w:r w:rsidR="00F1148A">
        <w:rPr>
          <w:color w:val="4F81BD" w:themeColor="accent1"/>
        </w:rPr>
        <w:t xml:space="preserve"> Availability Study report is attached.</w:t>
      </w:r>
    </w:p>
    <w:p w14:paraId="0A904A98" w14:textId="77777777" w:rsidR="006754E8" w:rsidRDefault="006754E8" w:rsidP="006754E8">
      <w:pPr>
        <w:pStyle w:val="ListParagraph"/>
      </w:pPr>
    </w:p>
    <w:p w14:paraId="4BF4D4B0" w14:textId="11CD4FA5" w:rsidR="006754E8" w:rsidRDefault="006754E8" w:rsidP="00744796">
      <w:pPr>
        <w:pStyle w:val="ListParagraph"/>
        <w:numPr>
          <w:ilvl w:val="0"/>
          <w:numId w:val="9"/>
        </w:numPr>
      </w:pPr>
      <w:r>
        <w:t>Discussion</w:t>
      </w:r>
      <w:r w:rsidR="00E34CD4">
        <w:t>/update on changing the source for the fuel index</w:t>
      </w:r>
    </w:p>
    <w:p w14:paraId="384FE99B" w14:textId="77777777" w:rsidR="002F1E74" w:rsidRDefault="002F1E74" w:rsidP="002F1E74"/>
    <w:p w14:paraId="2EE0E22F" w14:textId="77777777" w:rsidR="002F1E74" w:rsidRDefault="002F1E74" w:rsidP="002F1E74">
      <w:pPr>
        <w:ind w:left="720"/>
        <w:rPr>
          <w:color w:val="4F81BD" w:themeColor="accent1"/>
        </w:rPr>
      </w:pPr>
      <w:r w:rsidRPr="002F1E74">
        <w:rPr>
          <w:color w:val="4F81BD" w:themeColor="accent1"/>
        </w:rPr>
        <w:t xml:space="preserve">MoDOT will switch the source of the monthly fuel index from Platt’s </w:t>
      </w:r>
      <w:proofErr w:type="spellStart"/>
      <w:r w:rsidRPr="002F1E74">
        <w:rPr>
          <w:color w:val="4F81BD" w:themeColor="accent1"/>
        </w:rPr>
        <w:t>Oilgram</w:t>
      </w:r>
      <w:proofErr w:type="spellEnd"/>
      <w:r w:rsidRPr="002F1E74">
        <w:rPr>
          <w:color w:val="4F81BD" w:themeColor="accent1"/>
        </w:rPr>
        <w:t xml:space="preserve"> to U.S. Energy Information Administration effective March 2, 2024</w:t>
      </w:r>
    </w:p>
    <w:p w14:paraId="154636A1" w14:textId="77777777" w:rsidR="00766C0B" w:rsidRPr="002F1E74" w:rsidRDefault="00766C0B" w:rsidP="002F1E74">
      <w:pPr>
        <w:ind w:left="720"/>
        <w:rPr>
          <w:color w:val="4F81BD" w:themeColor="accent1"/>
        </w:rPr>
      </w:pPr>
    </w:p>
    <w:p w14:paraId="0451E19F" w14:textId="77777777" w:rsidR="002F1E74" w:rsidRDefault="002F1E74" w:rsidP="002F1E74">
      <w:pPr>
        <w:ind w:left="720"/>
        <w:rPr>
          <w:color w:val="4F81BD" w:themeColor="accent1"/>
        </w:rPr>
      </w:pPr>
      <w:r w:rsidRPr="002F1E74">
        <w:rPr>
          <w:color w:val="4F81BD" w:themeColor="accent1"/>
        </w:rPr>
        <w:t>This change will be retroactive to the letting date for current contracts, i.e., the “Base Index” will be re-established per the EIA index and the EIA Monthly Index will be used as the Current Index in all future pay estimates starting 3/2/24. No changes will be made to fuel adjustments paid prior to 3/2/24 (except in the case of errors). Formula provided below.</w:t>
      </w:r>
    </w:p>
    <w:p w14:paraId="43E876A2" w14:textId="77777777" w:rsidR="00766C0B" w:rsidRPr="002F1E74" w:rsidRDefault="00766C0B" w:rsidP="002F1E74">
      <w:pPr>
        <w:ind w:left="720"/>
        <w:rPr>
          <w:color w:val="4F81BD" w:themeColor="accent1"/>
        </w:rPr>
      </w:pPr>
    </w:p>
    <w:p w14:paraId="54493B3F" w14:textId="77777777" w:rsidR="002F1E74" w:rsidRPr="002F1E74" w:rsidRDefault="002F1E74" w:rsidP="002F1E74">
      <w:pPr>
        <w:ind w:left="720"/>
        <w:rPr>
          <w:color w:val="4F81BD" w:themeColor="accent1"/>
        </w:rPr>
      </w:pPr>
      <w:r w:rsidRPr="002F1E74">
        <w:rPr>
          <w:color w:val="4F81BD" w:themeColor="accent1"/>
        </w:rPr>
        <w:t>EIA has tracked very similar to Platts historically (see attached graph)</w:t>
      </w:r>
    </w:p>
    <w:p w14:paraId="1872B95B" w14:textId="77777777" w:rsidR="002F1E74" w:rsidRDefault="002F1E74" w:rsidP="002F1E74">
      <w:pPr>
        <w:ind w:left="720"/>
        <w:rPr>
          <w:color w:val="4F81BD" w:themeColor="accent1"/>
        </w:rPr>
      </w:pPr>
      <w:r w:rsidRPr="002F1E74">
        <w:rPr>
          <w:color w:val="4F81BD" w:themeColor="accent1"/>
        </w:rPr>
        <w:t xml:space="preserve">Link to </w:t>
      </w:r>
      <w:hyperlink r:id="rId8" w:history="1">
        <w:r w:rsidRPr="002F1E74">
          <w:rPr>
            <w:rStyle w:val="Hyperlink"/>
            <w:color w:val="4F81BD" w:themeColor="accent1"/>
          </w:rPr>
          <w:t>EIA index</w:t>
        </w:r>
      </w:hyperlink>
      <w:r w:rsidRPr="002F1E74">
        <w:rPr>
          <w:color w:val="4F81BD" w:themeColor="accent1"/>
        </w:rPr>
        <w:t xml:space="preserve"> </w:t>
      </w:r>
    </w:p>
    <w:p w14:paraId="763FEFE0" w14:textId="77777777" w:rsidR="00766C0B" w:rsidRPr="002F1E74" w:rsidRDefault="00766C0B" w:rsidP="002F1E74">
      <w:pPr>
        <w:ind w:left="720"/>
        <w:rPr>
          <w:color w:val="4F81BD" w:themeColor="accent1"/>
        </w:rPr>
      </w:pPr>
    </w:p>
    <w:p w14:paraId="043D86E5" w14:textId="77777777" w:rsidR="002F1E74" w:rsidRDefault="002F1E74" w:rsidP="002F1E74">
      <w:pPr>
        <w:ind w:left="720"/>
        <w:rPr>
          <w:color w:val="4F81BD" w:themeColor="accent1"/>
        </w:rPr>
      </w:pPr>
      <w:r w:rsidRPr="002F1E74">
        <w:rPr>
          <w:color w:val="4F81BD" w:themeColor="accent1"/>
        </w:rPr>
        <w:t>Chart parameters: Area = Midwest PADD 2, Fuel Grade = Ultra Low Sulfur, Period = Weekly</w:t>
      </w:r>
    </w:p>
    <w:p w14:paraId="3D89F280" w14:textId="77777777" w:rsidR="00527739" w:rsidRPr="002F1E74" w:rsidRDefault="00527739" w:rsidP="002F1E74">
      <w:pPr>
        <w:ind w:left="720"/>
        <w:rPr>
          <w:color w:val="4F81BD" w:themeColor="accent1"/>
        </w:rPr>
      </w:pPr>
    </w:p>
    <w:p w14:paraId="476CA076" w14:textId="77777777" w:rsidR="002F1E74" w:rsidRDefault="002F1E74" w:rsidP="002F1E74">
      <w:pPr>
        <w:ind w:left="720"/>
        <w:rPr>
          <w:color w:val="4F81BD" w:themeColor="accent1"/>
        </w:rPr>
      </w:pPr>
      <w:r w:rsidRPr="002F1E74">
        <w:rPr>
          <w:color w:val="4F81BD" w:themeColor="accent1"/>
        </w:rPr>
        <w:t>EIA price on first Monday of each month will represent the “Monthly Index” for that month</w:t>
      </w:r>
    </w:p>
    <w:p w14:paraId="6CCEF1D2" w14:textId="77777777" w:rsidR="00527739" w:rsidRPr="002F1E74" w:rsidRDefault="00527739" w:rsidP="002F1E74">
      <w:pPr>
        <w:ind w:left="720"/>
        <w:rPr>
          <w:color w:val="4F81BD" w:themeColor="accent1"/>
        </w:rPr>
      </w:pPr>
    </w:p>
    <w:p w14:paraId="2D549B38" w14:textId="77777777" w:rsidR="002F1E74" w:rsidRDefault="002F1E74" w:rsidP="002F1E74">
      <w:pPr>
        <w:ind w:left="720"/>
        <w:rPr>
          <w:color w:val="4F81BD" w:themeColor="accent1"/>
        </w:rPr>
      </w:pPr>
      <w:r w:rsidRPr="002F1E74">
        <w:rPr>
          <w:color w:val="4F81BD" w:themeColor="accent1"/>
        </w:rPr>
        <w:t>Contractors can subscribe to a weekly email notice of index from EIA (sign up on EIA website)</w:t>
      </w:r>
    </w:p>
    <w:p w14:paraId="161B6B94" w14:textId="77777777" w:rsidR="00527739" w:rsidRPr="002F1E74" w:rsidRDefault="00527739" w:rsidP="002F1E74">
      <w:pPr>
        <w:ind w:left="720"/>
        <w:rPr>
          <w:color w:val="4F81BD" w:themeColor="accent1"/>
        </w:rPr>
      </w:pPr>
    </w:p>
    <w:p w14:paraId="21D390B5" w14:textId="77777777" w:rsidR="002F1E74" w:rsidRPr="002F1E74" w:rsidRDefault="002F1E74" w:rsidP="002F1E74">
      <w:pPr>
        <w:ind w:left="720"/>
        <w:rPr>
          <w:color w:val="4F81BD" w:themeColor="accent1"/>
        </w:rPr>
      </w:pPr>
      <w:r w:rsidRPr="002F1E74">
        <w:rPr>
          <w:color w:val="4F81BD" w:themeColor="accent1"/>
        </w:rPr>
        <w:t>RE will issue a Documentation Record to document this change in all current contracts</w:t>
      </w:r>
    </w:p>
    <w:p w14:paraId="4C632FAB" w14:textId="77777777" w:rsidR="002F1E74" w:rsidRPr="002F1E74" w:rsidRDefault="002F1E74" w:rsidP="002F1E74">
      <w:pPr>
        <w:ind w:left="720"/>
        <w:rPr>
          <w:color w:val="4F81BD" w:themeColor="accent1"/>
        </w:rPr>
      </w:pPr>
      <w:r w:rsidRPr="002F1E74">
        <w:rPr>
          <w:color w:val="4F81BD" w:themeColor="accent1"/>
        </w:rPr>
        <w:lastRenderedPageBreak/>
        <w:t>The update to Sec 109.14, listing EIA as the new source, will be inserted into the Supplemental Revisions on April 1 (draft attached)</w:t>
      </w:r>
    </w:p>
    <w:p w14:paraId="14288AA4" w14:textId="77777777" w:rsidR="002F1E74" w:rsidRPr="002F1E74" w:rsidRDefault="002F1E74" w:rsidP="002F1E74">
      <w:pPr>
        <w:pStyle w:val="ListParagraph"/>
      </w:pPr>
    </w:p>
    <w:p w14:paraId="725B6F0C" w14:textId="77777777" w:rsidR="002F1E74" w:rsidRPr="002F1E74" w:rsidRDefault="002F1E74" w:rsidP="002F1E74">
      <w:pPr>
        <w:pStyle w:val="ListParagraph"/>
        <w:rPr>
          <w:b/>
          <w:bCs/>
          <w:color w:val="4F81BD" w:themeColor="accent1"/>
        </w:rPr>
      </w:pPr>
      <w:r w:rsidRPr="002F1E74">
        <w:rPr>
          <w:b/>
          <w:bCs/>
          <w:color w:val="4F81BD" w:themeColor="accent1"/>
        </w:rPr>
        <w:t>109.14.2  Fuel Adjustment Calculation.</w:t>
      </w:r>
    </w:p>
    <w:p w14:paraId="38C0056A" w14:textId="77777777" w:rsidR="002F1E74" w:rsidRPr="002F1E74" w:rsidRDefault="002F1E74" w:rsidP="002F1E74">
      <w:pPr>
        <w:pStyle w:val="ListParagraph"/>
        <w:rPr>
          <w:color w:val="4F81BD" w:themeColor="accent1"/>
        </w:rPr>
      </w:pPr>
    </w:p>
    <w:p w14:paraId="399C7645" w14:textId="77777777" w:rsidR="002F1E74" w:rsidRPr="002F1E74" w:rsidRDefault="002F1E74" w:rsidP="002F1E74">
      <w:pPr>
        <w:pStyle w:val="ListParagraph"/>
        <w:rPr>
          <w:color w:val="4F81BD" w:themeColor="accent1"/>
        </w:rPr>
      </w:pPr>
      <w:r w:rsidRPr="002F1E74">
        <w:rPr>
          <w:color w:val="4F81BD" w:themeColor="accent1"/>
        </w:rPr>
        <w:t>     B = Base Fuel Index = Monthly Fuel Index in the month in which the project was let</w:t>
      </w:r>
    </w:p>
    <w:p w14:paraId="427208D6" w14:textId="77777777" w:rsidR="002F1E74" w:rsidRPr="002F1E74" w:rsidRDefault="002F1E74" w:rsidP="002F1E74">
      <w:pPr>
        <w:pStyle w:val="ListParagraph"/>
        <w:rPr>
          <w:color w:val="4F81BD" w:themeColor="accent1"/>
        </w:rPr>
      </w:pPr>
      <w:r w:rsidRPr="002F1E74">
        <w:rPr>
          <w:color w:val="4F81BD" w:themeColor="accent1"/>
        </w:rPr>
        <w:t>     C = Current Index = Monthly Fuel Index in the month in which the work was performed</w:t>
      </w:r>
    </w:p>
    <w:p w14:paraId="2BC9D66E" w14:textId="77777777" w:rsidR="002F1E74" w:rsidRPr="002F1E74" w:rsidRDefault="002F1E74" w:rsidP="002F1E74">
      <w:pPr>
        <w:pStyle w:val="ListParagraph"/>
        <w:rPr>
          <w:color w:val="4F81BD" w:themeColor="accent1"/>
        </w:rPr>
      </w:pPr>
      <w:r w:rsidRPr="002F1E74">
        <w:rPr>
          <w:color w:val="4F81BD" w:themeColor="accent1"/>
        </w:rPr>
        <w:t>     U = Units of work performed within the current pay estimate period (applicable pay units)</w:t>
      </w:r>
    </w:p>
    <w:p w14:paraId="793407E2" w14:textId="77777777" w:rsidR="002F1E74" w:rsidRPr="002F1E74" w:rsidRDefault="002F1E74" w:rsidP="002F1E74">
      <w:pPr>
        <w:pStyle w:val="ListParagraph"/>
        <w:rPr>
          <w:color w:val="4F81BD" w:themeColor="accent1"/>
        </w:rPr>
      </w:pPr>
      <w:r w:rsidRPr="002F1E74">
        <w:rPr>
          <w:color w:val="4F81BD" w:themeColor="accent1"/>
        </w:rPr>
        <w:t>     F = Total Fuel Usage Factor (gal./applicable pay units)</w:t>
      </w:r>
    </w:p>
    <w:p w14:paraId="5C1F65B5" w14:textId="77777777" w:rsidR="002F1E74" w:rsidRPr="002F1E74" w:rsidRDefault="002F1E74" w:rsidP="002F1E74">
      <w:pPr>
        <w:pStyle w:val="ListParagraph"/>
        <w:rPr>
          <w:color w:val="4F81BD" w:themeColor="accent1"/>
        </w:rPr>
      </w:pPr>
    </w:p>
    <w:p w14:paraId="3B8DAD4A" w14:textId="77777777" w:rsidR="002F1E74" w:rsidRPr="002F1E74" w:rsidRDefault="002F1E74" w:rsidP="002F1E74">
      <w:pPr>
        <w:pStyle w:val="ListParagraph"/>
        <w:rPr>
          <w:color w:val="4F81BD" w:themeColor="accent1"/>
        </w:rPr>
      </w:pPr>
      <w:r w:rsidRPr="002F1E74">
        <w:rPr>
          <w:color w:val="4F81BD" w:themeColor="accent1"/>
        </w:rPr>
        <w:t>     Fuel Adjustment (Dollars) = (C – B) x U x F</w:t>
      </w:r>
    </w:p>
    <w:p w14:paraId="09F96B6E" w14:textId="77777777" w:rsidR="007B0827" w:rsidRDefault="007B0827" w:rsidP="007B0827">
      <w:pPr>
        <w:pStyle w:val="ListParagraph"/>
      </w:pPr>
    </w:p>
    <w:p w14:paraId="0F850248" w14:textId="77777777" w:rsidR="00CB5CE6" w:rsidRPr="00F85FAE" w:rsidRDefault="00CB5CE6" w:rsidP="00CB5CE6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t>Railroad Crossing Requirements, JSP’s, Permit Timeliness and Proper Railroad Contacts</w:t>
      </w:r>
    </w:p>
    <w:p w14:paraId="30318731" w14:textId="77777777" w:rsidR="00F85FAE" w:rsidRDefault="00F85FAE" w:rsidP="00F85FAE">
      <w:pPr>
        <w:rPr>
          <w:sz w:val="22"/>
          <w:szCs w:val="22"/>
        </w:rPr>
      </w:pPr>
    </w:p>
    <w:p w14:paraId="6F575F75" w14:textId="05A704B4" w:rsidR="00F85FAE" w:rsidRDefault="00C44FDF" w:rsidP="00F85FAE">
      <w:pPr>
        <w:ind w:left="720"/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>General discussion on challenges with projects on railroad right of way.</w:t>
      </w:r>
    </w:p>
    <w:p w14:paraId="151C02FF" w14:textId="77777777" w:rsidR="00C44FDF" w:rsidRDefault="00C44FDF" w:rsidP="00F85FAE">
      <w:pPr>
        <w:ind w:left="720"/>
        <w:rPr>
          <w:color w:val="4F81BD" w:themeColor="accent1"/>
          <w:sz w:val="22"/>
          <w:szCs w:val="22"/>
        </w:rPr>
      </w:pPr>
    </w:p>
    <w:p w14:paraId="4CBA9C11" w14:textId="330B09A8" w:rsidR="00C44FDF" w:rsidRPr="00CB14BC" w:rsidRDefault="00C44FDF" w:rsidP="00F85FAE">
      <w:pPr>
        <w:ind w:left="720"/>
        <w:rPr>
          <w:color w:val="FF0000"/>
          <w:sz w:val="22"/>
          <w:szCs w:val="22"/>
        </w:rPr>
      </w:pPr>
      <w:r w:rsidRPr="00CB14BC">
        <w:rPr>
          <w:color w:val="FF0000"/>
          <w:sz w:val="22"/>
          <w:szCs w:val="22"/>
        </w:rPr>
        <w:t>Action Item:  Larry Scheperle and Greg Leary will be invited to May 7 quarterly meeting for additional discussion.</w:t>
      </w:r>
    </w:p>
    <w:p w14:paraId="7CB536BB" w14:textId="77777777" w:rsidR="00CB5CE6" w:rsidRDefault="00CB5CE6" w:rsidP="00CB5CE6">
      <w:pPr>
        <w:pStyle w:val="ListParagraph"/>
      </w:pPr>
    </w:p>
    <w:p w14:paraId="70ADBFF2" w14:textId="5F3BADBD" w:rsidR="00CB5CE6" w:rsidRPr="00CB5CE6" w:rsidRDefault="00CB5CE6" w:rsidP="00CB5CE6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t>District QC/QA Meetings</w:t>
      </w:r>
    </w:p>
    <w:p w14:paraId="54A9A0D2" w14:textId="0E16A55D" w:rsidR="00CB5CE6" w:rsidRPr="00251D48" w:rsidRDefault="00CB5CE6" w:rsidP="00CB5CE6">
      <w:pPr>
        <w:rPr>
          <w:color w:val="4F81BD" w:themeColor="accent1"/>
        </w:rPr>
      </w:pPr>
      <w:r>
        <w:t>            NW:  Mar. 20</w:t>
      </w:r>
      <w:r w:rsidR="00251D48">
        <w:t xml:space="preserve"> </w:t>
      </w:r>
      <w:r w:rsidR="00251D48">
        <w:rPr>
          <w:color w:val="4F81BD" w:themeColor="accent1"/>
        </w:rPr>
        <w:t>TBD</w:t>
      </w:r>
    </w:p>
    <w:p w14:paraId="0A8B8683" w14:textId="1AB67414" w:rsidR="00CB5CE6" w:rsidRDefault="00CB5CE6" w:rsidP="00CB5CE6">
      <w:pPr>
        <w:ind w:left="720"/>
      </w:pPr>
      <w:r>
        <w:t xml:space="preserve">NE:  Mar. 19 </w:t>
      </w:r>
      <w:r w:rsidR="009871B9" w:rsidRPr="00546C4E">
        <w:rPr>
          <w:color w:val="4F81BD" w:themeColor="accent1"/>
        </w:rPr>
        <w:t xml:space="preserve">10:00 – 12:00 </w:t>
      </w:r>
      <w:r w:rsidR="00546C4E" w:rsidRPr="00546C4E">
        <w:rPr>
          <w:color w:val="4F81BD" w:themeColor="accent1"/>
        </w:rPr>
        <w:t>Macon Regional Office Conference Room</w:t>
      </w:r>
    </w:p>
    <w:p w14:paraId="25B40A7C" w14:textId="7EAD8428" w:rsidR="00CB5CE6" w:rsidRPr="00512271" w:rsidRDefault="00CB5CE6" w:rsidP="00CB5CE6">
      <w:pPr>
        <w:ind w:left="720"/>
        <w:rPr>
          <w:color w:val="4F81BD" w:themeColor="accent1"/>
        </w:rPr>
      </w:pPr>
      <w:r>
        <w:t xml:space="preserve">KC:  Mar. 21 </w:t>
      </w:r>
      <w:r w:rsidR="00512271">
        <w:rPr>
          <w:color w:val="4F81BD" w:themeColor="accent1"/>
        </w:rPr>
        <w:t>10:00 – 12:00 KC Conference Room 136</w:t>
      </w:r>
    </w:p>
    <w:p w14:paraId="0703080C" w14:textId="475CE379" w:rsidR="00CB5CE6" w:rsidRDefault="00CB5CE6" w:rsidP="00CB5CE6">
      <w:pPr>
        <w:ind w:left="720"/>
      </w:pPr>
      <w:r>
        <w:t>CD:  Feb. 2</w:t>
      </w:r>
      <w:r w:rsidR="009478A3">
        <w:t>9</w:t>
      </w:r>
      <w:r w:rsidR="00FB6B9C">
        <w:t xml:space="preserve"> </w:t>
      </w:r>
      <w:r w:rsidR="00FB6B9C">
        <w:rPr>
          <w:color w:val="4F81BD" w:themeColor="accent1"/>
        </w:rPr>
        <w:t xml:space="preserve">12:30 – 3:00 </w:t>
      </w:r>
      <w:r w:rsidR="00512271">
        <w:rPr>
          <w:color w:val="4F81BD" w:themeColor="accent1"/>
        </w:rPr>
        <w:t xml:space="preserve">Central Lab </w:t>
      </w:r>
      <w:r w:rsidR="00FB6B9C">
        <w:rPr>
          <w:color w:val="4F81BD" w:themeColor="accent1"/>
        </w:rPr>
        <w:t>Conference Room 201</w:t>
      </w:r>
      <w:r>
        <w:t xml:space="preserve"> </w:t>
      </w:r>
    </w:p>
    <w:p w14:paraId="1A587566" w14:textId="5E4F6733" w:rsidR="00CB5CE6" w:rsidRPr="006B4625" w:rsidRDefault="00CB5CE6" w:rsidP="00CB5CE6">
      <w:pPr>
        <w:ind w:left="720"/>
        <w:rPr>
          <w:color w:val="4F81BD" w:themeColor="accent1"/>
        </w:rPr>
      </w:pPr>
      <w:r>
        <w:t xml:space="preserve">SL: Feb. 28 </w:t>
      </w:r>
      <w:r w:rsidR="006B4625">
        <w:rPr>
          <w:color w:val="4F81BD" w:themeColor="accent1"/>
        </w:rPr>
        <w:t>1:00 – 3:00 SL Conference Room 1</w:t>
      </w:r>
      <w:r w:rsidR="009671F6">
        <w:rPr>
          <w:color w:val="4F81BD" w:themeColor="accent1"/>
        </w:rPr>
        <w:t>60</w:t>
      </w:r>
    </w:p>
    <w:p w14:paraId="4E9C9701" w14:textId="67C11B1F" w:rsidR="00CB5CE6" w:rsidRPr="00E96987" w:rsidRDefault="00CB5CE6" w:rsidP="00CB5CE6">
      <w:pPr>
        <w:ind w:left="720"/>
        <w:rPr>
          <w:color w:val="4F81BD" w:themeColor="accent1"/>
        </w:rPr>
      </w:pPr>
      <w:r>
        <w:t xml:space="preserve">SW: Mar. 22 </w:t>
      </w:r>
      <w:r w:rsidR="00E96987">
        <w:rPr>
          <w:color w:val="4F81BD" w:themeColor="accent1"/>
        </w:rPr>
        <w:t>8:30 – 10:30</w:t>
      </w:r>
      <w:r w:rsidR="00251D48">
        <w:rPr>
          <w:color w:val="4F81BD" w:themeColor="accent1"/>
        </w:rPr>
        <w:t xml:space="preserve"> Room TBD</w:t>
      </w:r>
    </w:p>
    <w:p w14:paraId="6859F01B" w14:textId="406B52A2" w:rsidR="00CB5CE6" w:rsidRPr="00251D48" w:rsidRDefault="00CB5CE6" w:rsidP="00CB5CE6">
      <w:pPr>
        <w:ind w:left="720"/>
        <w:rPr>
          <w:color w:val="4F81BD" w:themeColor="accent1"/>
        </w:rPr>
      </w:pPr>
      <w:r>
        <w:t xml:space="preserve">SE:  Feb. 26 </w:t>
      </w:r>
      <w:r w:rsidR="00251D48">
        <w:rPr>
          <w:color w:val="4F81BD" w:themeColor="accent1"/>
        </w:rPr>
        <w:t>TBD</w:t>
      </w:r>
    </w:p>
    <w:p w14:paraId="467393B2" w14:textId="77777777" w:rsidR="00D362B9" w:rsidRDefault="00D362B9" w:rsidP="00AE7861"/>
    <w:p w14:paraId="17E80136" w14:textId="689EEE49" w:rsidR="00D362B9" w:rsidRDefault="00D362B9" w:rsidP="00D362B9">
      <w:pPr>
        <w:pStyle w:val="ListParagraph"/>
        <w:numPr>
          <w:ilvl w:val="0"/>
          <w:numId w:val="9"/>
        </w:numPr>
      </w:pPr>
      <w:r>
        <w:t>Update on BMD</w:t>
      </w:r>
      <w:r w:rsidR="00FF61E5">
        <w:t xml:space="preserve">, PMTP, and IC </w:t>
      </w:r>
      <w:r>
        <w:t>Specification</w:t>
      </w:r>
      <w:r w:rsidR="00AE7861">
        <w:t>s</w:t>
      </w:r>
    </w:p>
    <w:p w14:paraId="2292D5EC" w14:textId="0AE105C4" w:rsidR="00033755" w:rsidRDefault="00033755" w:rsidP="00033755">
      <w:pPr>
        <w:pStyle w:val="ListParagraph"/>
        <w:numPr>
          <w:ilvl w:val="1"/>
          <w:numId w:val="9"/>
        </w:numPr>
      </w:pPr>
      <w:r>
        <w:t>2024 Pilot Projects</w:t>
      </w:r>
      <w:r w:rsidR="009F530F">
        <w:t xml:space="preserve"> (BMD, PMTP, and IC)</w:t>
      </w:r>
    </w:p>
    <w:p w14:paraId="3E45FF45" w14:textId="0A727184" w:rsidR="00185BD1" w:rsidRPr="00F62671" w:rsidRDefault="00F62671" w:rsidP="00185BD1">
      <w:pPr>
        <w:pStyle w:val="ListParagraph"/>
        <w:rPr>
          <w:color w:val="4F81BD" w:themeColor="accent1"/>
        </w:rPr>
      </w:pPr>
      <w:r>
        <w:rPr>
          <w:color w:val="4F81BD" w:themeColor="accent1"/>
        </w:rPr>
        <w:t>See attached handout.</w:t>
      </w:r>
    </w:p>
    <w:p w14:paraId="50612D56" w14:textId="6F7A64C0" w:rsidR="00033755" w:rsidRDefault="009F530F" w:rsidP="00033755">
      <w:pPr>
        <w:pStyle w:val="ListParagraph"/>
        <w:numPr>
          <w:ilvl w:val="1"/>
          <w:numId w:val="9"/>
        </w:numPr>
      </w:pPr>
      <w:r>
        <w:t>2025 Pilot Projects (BMD, PMTP, and IC)</w:t>
      </w:r>
    </w:p>
    <w:p w14:paraId="4B2B5656" w14:textId="3ECDFDF2" w:rsidR="00F62671" w:rsidRPr="00F62671" w:rsidRDefault="00F62671" w:rsidP="00F62671">
      <w:pPr>
        <w:ind w:left="720"/>
        <w:rPr>
          <w:color w:val="4F81BD" w:themeColor="accent1"/>
        </w:rPr>
      </w:pPr>
      <w:r>
        <w:rPr>
          <w:color w:val="4F81BD" w:themeColor="accent1"/>
        </w:rPr>
        <w:t>See attached handout.</w:t>
      </w:r>
    </w:p>
    <w:p w14:paraId="2B09FD14" w14:textId="0C381545" w:rsidR="009F530F" w:rsidRDefault="00592492" w:rsidP="00033755">
      <w:pPr>
        <w:pStyle w:val="ListParagraph"/>
        <w:numPr>
          <w:ilvl w:val="1"/>
          <w:numId w:val="9"/>
        </w:numPr>
      </w:pPr>
      <w:r>
        <w:t>BMD and PMTP Transition</w:t>
      </w:r>
    </w:p>
    <w:p w14:paraId="6A9DA543" w14:textId="3E64374C" w:rsidR="00F62671" w:rsidRPr="00F62671" w:rsidRDefault="00E62372" w:rsidP="00F62671">
      <w:pPr>
        <w:pStyle w:val="ListParagraph"/>
        <w:rPr>
          <w:color w:val="4F81BD" w:themeColor="accent1"/>
        </w:rPr>
      </w:pPr>
      <w:r>
        <w:rPr>
          <w:color w:val="4F81BD" w:themeColor="accent1"/>
        </w:rPr>
        <w:t xml:space="preserve">MoDOT </w:t>
      </w:r>
      <w:r w:rsidR="00AC183C">
        <w:rPr>
          <w:color w:val="4F81BD" w:themeColor="accent1"/>
        </w:rPr>
        <w:t xml:space="preserve">expects revised BMD Specification, see attached, to be included on pilot projects starting in May of 2024.  Contractors will be allowed to </w:t>
      </w:r>
      <w:r w:rsidR="00F217CA">
        <w:rPr>
          <w:color w:val="4F81BD" w:themeColor="accent1"/>
        </w:rPr>
        <w:t xml:space="preserve">utilize BMD along with PMTP </w:t>
      </w:r>
      <w:r w:rsidR="00FB3AE3">
        <w:rPr>
          <w:color w:val="4F81BD" w:themeColor="accent1"/>
        </w:rPr>
        <w:t xml:space="preserve">as an option on Superpave projects </w:t>
      </w:r>
      <w:r w:rsidR="005057AF">
        <w:rPr>
          <w:color w:val="4F81BD" w:themeColor="accent1"/>
        </w:rPr>
        <w:t xml:space="preserve">in all future projects starting in May 2024.  </w:t>
      </w:r>
      <w:r w:rsidR="001A22AF">
        <w:rPr>
          <w:color w:val="4F81BD" w:themeColor="accent1"/>
        </w:rPr>
        <w:t xml:space="preserve">MoDOT will </w:t>
      </w:r>
      <w:r w:rsidR="00B8442F">
        <w:rPr>
          <w:color w:val="4F81BD" w:themeColor="accent1"/>
        </w:rPr>
        <w:t>consider</w:t>
      </w:r>
      <w:r w:rsidR="001A22AF">
        <w:rPr>
          <w:color w:val="4F81BD" w:themeColor="accent1"/>
        </w:rPr>
        <w:t xml:space="preserve"> allowing contractors to change order existing projects to the new BMD specifications.</w:t>
      </w:r>
    </w:p>
    <w:p w14:paraId="2A13DD6E" w14:textId="77777777" w:rsidR="00813E28" w:rsidRDefault="00813E28" w:rsidP="007B0827"/>
    <w:p w14:paraId="1EC942C9" w14:textId="191BA2C6" w:rsidR="00813E28" w:rsidRDefault="009D22A1" w:rsidP="00CD60FE">
      <w:pPr>
        <w:pStyle w:val="ListParagraph"/>
        <w:numPr>
          <w:ilvl w:val="0"/>
          <w:numId w:val="9"/>
        </w:numPr>
      </w:pPr>
      <w:r>
        <w:t>2024 Spring Training</w:t>
      </w:r>
      <w:r w:rsidR="00053C62">
        <w:t xml:space="preserve"> – February 7 – 8, 2024</w:t>
      </w:r>
    </w:p>
    <w:p w14:paraId="694EBF94" w14:textId="77777777" w:rsidR="001A22AF" w:rsidRDefault="001A22AF" w:rsidP="001A22AF"/>
    <w:p w14:paraId="5DB3E608" w14:textId="2466C432" w:rsidR="001A22AF" w:rsidRPr="00FC241C" w:rsidRDefault="00FC241C" w:rsidP="00FC241C">
      <w:pPr>
        <w:ind w:left="720"/>
        <w:rPr>
          <w:color w:val="4F81BD" w:themeColor="accent1"/>
        </w:rPr>
      </w:pPr>
      <w:r>
        <w:rPr>
          <w:color w:val="4F81BD" w:themeColor="accent1"/>
        </w:rPr>
        <w:lastRenderedPageBreak/>
        <w:t>MAPA reminded those in attendance of the upcoming spring training in Columbia an encouraged attendance.</w:t>
      </w:r>
    </w:p>
    <w:p w14:paraId="623F0796" w14:textId="77777777" w:rsidR="007B0884" w:rsidRDefault="007B0884" w:rsidP="007B0884">
      <w:pPr>
        <w:pStyle w:val="ListParagraph"/>
      </w:pPr>
    </w:p>
    <w:p w14:paraId="38F25F77" w14:textId="77777777" w:rsidR="007B0884" w:rsidRPr="007B0884" w:rsidRDefault="007B0884" w:rsidP="007B0884">
      <w:pPr>
        <w:pStyle w:val="ListParagraph"/>
        <w:numPr>
          <w:ilvl w:val="0"/>
          <w:numId w:val="9"/>
        </w:numPr>
      </w:pPr>
      <w:r w:rsidRPr="007B0884">
        <w:t xml:space="preserve">2024 Meeting Dates:  </w:t>
      </w:r>
    </w:p>
    <w:p w14:paraId="0A4B51F7" w14:textId="77777777" w:rsidR="007B0884" w:rsidRPr="007B0884" w:rsidRDefault="007B0884" w:rsidP="007B0884">
      <w:pPr>
        <w:pStyle w:val="ListParagraph"/>
        <w:rPr>
          <w:bCs/>
        </w:rPr>
      </w:pPr>
      <w:r w:rsidRPr="007B0884">
        <w:rPr>
          <w:bCs/>
        </w:rPr>
        <w:t>May 7, 2024 / 1:00 – 3:00 p.m.</w:t>
      </w:r>
    </w:p>
    <w:p w14:paraId="0694282E" w14:textId="77777777" w:rsidR="007B0884" w:rsidRPr="007B0884" w:rsidRDefault="007B0884" w:rsidP="007B0884">
      <w:pPr>
        <w:pStyle w:val="ListParagraph"/>
        <w:rPr>
          <w:bCs/>
        </w:rPr>
      </w:pPr>
      <w:r w:rsidRPr="007B0884">
        <w:rPr>
          <w:bCs/>
        </w:rPr>
        <w:t>August 6, 2024 / 1:00 – 3:00 p.m.</w:t>
      </w:r>
    </w:p>
    <w:p w14:paraId="7CD63011" w14:textId="77777777" w:rsidR="007B0884" w:rsidRDefault="007B0884" w:rsidP="007B0884">
      <w:pPr>
        <w:pStyle w:val="ListParagraph"/>
        <w:rPr>
          <w:bCs/>
        </w:rPr>
      </w:pPr>
      <w:r w:rsidRPr="007B0884">
        <w:rPr>
          <w:bCs/>
        </w:rPr>
        <w:t>November 5, 2024 / 1:00 – 3:00 p.m.</w:t>
      </w:r>
    </w:p>
    <w:p w14:paraId="7594E815" w14:textId="77777777" w:rsidR="00EA11D2" w:rsidRDefault="00EA11D2" w:rsidP="007B0884">
      <w:pPr>
        <w:pStyle w:val="ListParagraph"/>
        <w:rPr>
          <w:bCs/>
        </w:rPr>
      </w:pPr>
    </w:p>
    <w:p w14:paraId="5CB93B02" w14:textId="682D9DCF" w:rsidR="00EA11D2" w:rsidRPr="007B0884" w:rsidRDefault="00EA11D2" w:rsidP="007B0884">
      <w:pPr>
        <w:pStyle w:val="ListParagraph"/>
        <w:rPr>
          <w:bCs/>
        </w:rPr>
      </w:pPr>
      <w:r>
        <w:rPr>
          <w:bCs/>
        </w:rPr>
        <w:t xml:space="preserve">(Bituminous Technical Team prior to </w:t>
      </w:r>
      <w:r w:rsidR="0061473E">
        <w:rPr>
          <w:bCs/>
        </w:rPr>
        <w:t xml:space="preserve">Quarterly </w:t>
      </w:r>
      <w:r>
        <w:rPr>
          <w:bCs/>
        </w:rPr>
        <w:t xml:space="preserve">Meetings (9:00 to </w:t>
      </w:r>
      <w:r w:rsidR="00B86A51">
        <w:rPr>
          <w:bCs/>
        </w:rPr>
        <w:t xml:space="preserve">11:30 </w:t>
      </w:r>
      <w:r w:rsidR="0061473E">
        <w:rPr>
          <w:bCs/>
        </w:rPr>
        <w:t>a.m.</w:t>
      </w:r>
      <w:r w:rsidR="00B86A51">
        <w:rPr>
          <w:bCs/>
        </w:rPr>
        <w:t>)</w:t>
      </w:r>
    </w:p>
    <w:p w14:paraId="72148073" w14:textId="77777777" w:rsidR="00A14CFB" w:rsidRDefault="00A14CFB" w:rsidP="00A14CFB">
      <w:pPr>
        <w:pStyle w:val="ListParagraph"/>
      </w:pPr>
    </w:p>
    <w:p w14:paraId="52A4D6AD" w14:textId="772FCA5F" w:rsidR="0064693E" w:rsidRDefault="0064693E" w:rsidP="0094135C">
      <w:pPr>
        <w:pStyle w:val="ListParagraph"/>
        <w:numPr>
          <w:ilvl w:val="0"/>
          <w:numId w:val="9"/>
        </w:numPr>
      </w:pPr>
      <w:r w:rsidRPr="00317640">
        <w:t>Other items</w:t>
      </w:r>
    </w:p>
    <w:p w14:paraId="228C3A94" w14:textId="77777777" w:rsidR="00FC241C" w:rsidRDefault="00FC241C" w:rsidP="00FC241C"/>
    <w:p w14:paraId="2A3BC94E" w14:textId="030275A7" w:rsidR="00FC241C" w:rsidRPr="00FC241C" w:rsidRDefault="00FC241C" w:rsidP="00FC241C">
      <w:pPr>
        <w:ind w:left="360"/>
        <w:rPr>
          <w:color w:val="4F81BD" w:themeColor="accent1"/>
        </w:rPr>
      </w:pPr>
      <w:r>
        <w:rPr>
          <w:color w:val="4F81BD" w:themeColor="accent1"/>
        </w:rPr>
        <w:t>MAPA share con</w:t>
      </w:r>
      <w:r w:rsidR="00992A19">
        <w:rPr>
          <w:color w:val="4F81BD" w:themeColor="accent1"/>
        </w:rPr>
        <w:t xml:space="preserve">cerns about the proposed $1,000 per contract software fee </w:t>
      </w:r>
      <w:r w:rsidR="007A7C4F">
        <w:rPr>
          <w:color w:val="4F81BD" w:themeColor="accent1"/>
        </w:rPr>
        <w:t xml:space="preserve">being implemented in order to track prompt payment to DBE subcontractors as required by FHWA.  </w:t>
      </w:r>
      <w:r w:rsidR="00BB1E11">
        <w:rPr>
          <w:color w:val="4F81BD" w:themeColor="accent1"/>
        </w:rPr>
        <w:t>Other states, such as Kansas, are able to track without the utilization of specialized software.</w:t>
      </w:r>
    </w:p>
    <w:sectPr w:rsidR="00FC241C" w:rsidRPr="00FC241C" w:rsidSect="00063B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7B12"/>
    <w:multiLevelType w:val="multilevel"/>
    <w:tmpl w:val="599C1F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B17AC"/>
    <w:multiLevelType w:val="hybridMultilevel"/>
    <w:tmpl w:val="3AAC42C0"/>
    <w:lvl w:ilvl="0" w:tplc="B87E409E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476A45"/>
    <w:multiLevelType w:val="hybridMultilevel"/>
    <w:tmpl w:val="AF7829E8"/>
    <w:lvl w:ilvl="0" w:tplc="DD1AB8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77B79"/>
    <w:multiLevelType w:val="hybridMultilevel"/>
    <w:tmpl w:val="289E8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56AB6"/>
    <w:multiLevelType w:val="hybridMultilevel"/>
    <w:tmpl w:val="13C00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A4308"/>
    <w:multiLevelType w:val="hybridMultilevel"/>
    <w:tmpl w:val="13C00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120A6"/>
    <w:multiLevelType w:val="hybridMultilevel"/>
    <w:tmpl w:val="9078D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12EDE"/>
    <w:multiLevelType w:val="hybridMultilevel"/>
    <w:tmpl w:val="6EF641C4"/>
    <w:lvl w:ilvl="0" w:tplc="C6067F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71198"/>
    <w:multiLevelType w:val="hybridMultilevel"/>
    <w:tmpl w:val="13C00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0730F"/>
    <w:multiLevelType w:val="hybridMultilevel"/>
    <w:tmpl w:val="13C00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986419">
    <w:abstractNumId w:val="1"/>
  </w:num>
  <w:num w:numId="2" w16cid:durableId="1461459736">
    <w:abstractNumId w:val="7"/>
  </w:num>
  <w:num w:numId="3" w16cid:durableId="17596706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0353681">
    <w:abstractNumId w:val="4"/>
  </w:num>
  <w:num w:numId="5" w16cid:durableId="101846563">
    <w:abstractNumId w:val="8"/>
  </w:num>
  <w:num w:numId="6" w16cid:durableId="97513794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2814430">
    <w:abstractNumId w:val="9"/>
  </w:num>
  <w:num w:numId="8" w16cid:durableId="1866206969">
    <w:abstractNumId w:val="5"/>
  </w:num>
  <w:num w:numId="9" w16cid:durableId="1750346230">
    <w:abstractNumId w:val="2"/>
  </w:num>
  <w:num w:numId="10" w16cid:durableId="45915209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459803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A3"/>
    <w:rsid w:val="00002FFC"/>
    <w:rsid w:val="0000381D"/>
    <w:rsid w:val="00031F0E"/>
    <w:rsid w:val="00033755"/>
    <w:rsid w:val="0003515C"/>
    <w:rsid w:val="00041D3D"/>
    <w:rsid w:val="00044FC5"/>
    <w:rsid w:val="00053C62"/>
    <w:rsid w:val="00062938"/>
    <w:rsid w:val="00063B29"/>
    <w:rsid w:val="00064C54"/>
    <w:rsid w:val="0008300A"/>
    <w:rsid w:val="0008547B"/>
    <w:rsid w:val="00085EFC"/>
    <w:rsid w:val="00097CF0"/>
    <w:rsid w:val="000C0F9E"/>
    <w:rsid w:val="000C4816"/>
    <w:rsid w:val="000D4A90"/>
    <w:rsid w:val="00111BE2"/>
    <w:rsid w:val="00114B02"/>
    <w:rsid w:val="00114BEC"/>
    <w:rsid w:val="00120591"/>
    <w:rsid w:val="00130CD9"/>
    <w:rsid w:val="00130F32"/>
    <w:rsid w:val="00132A73"/>
    <w:rsid w:val="0013562F"/>
    <w:rsid w:val="001506A6"/>
    <w:rsid w:val="00153231"/>
    <w:rsid w:val="00153A8E"/>
    <w:rsid w:val="00160E0F"/>
    <w:rsid w:val="00185BD1"/>
    <w:rsid w:val="001879BE"/>
    <w:rsid w:val="00191F21"/>
    <w:rsid w:val="001A22AF"/>
    <w:rsid w:val="001A695C"/>
    <w:rsid w:val="001A7930"/>
    <w:rsid w:val="001B59AE"/>
    <w:rsid w:val="001C3C13"/>
    <w:rsid w:val="001C5243"/>
    <w:rsid w:val="001D64B1"/>
    <w:rsid w:val="001F1097"/>
    <w:rsid w:val="001F3EBF"/>
    <w:rsid w:val="001F7E84"/>
    <w:rsid w:val="00201595"/>
    <w:rsid w:val="002035C8"/>
    <w:rsid w:val="00203800"/>
    <w:rsid w:val="002145C3"/>
    <w:rsid w:val="002206B9"/>
    <w:rsid w:val="00221082"/>
    <w:rsid w:val="00221F0E"/>
    <w:rsid w:val="0023200E"/>
    <w:rsid w:val="00241E56"/>
    <w:rsid w:val="00242A56"/>
    <w:rsid w:val="00251D48"/>
    <w:rsid w:val="002549AF"/>
    <w:rsid w:val="00257C85"/>
    <w:rsid w:val="00290C73"/>
    <w:rsid w:val="00293383"/>
    <w:rsid w:val="00297501"/>
    <w:rsid w:val="00297DDE"/>
    <w:rsid w:val="002A15C2"/>
    <w:rsid w:val="002C023F"/>
    <w:rsid w:val="002D4266"/>
    <w:rsid w:val="002E45E7"/>
    <w:rsid w:val="002E6C05"/>
    <w:rsid w:val="002F1E74"/>
    <w:rsid w:val="00317640"/>
    <w:rsid w:val="00330D1C"/>
    <w:rsid w:val="00347716"/>
    <w:rsid w:val="00366A35"/>
    <w:rsid w:val="00381010"/>
    <w:rsid w:val="003856EB"/>
    <w:rsid w:val="00390042"/>
    <w:rsid w:val="00395514"/>
    <w:rsid w:val="003979ED"/>
    <w:rsid w:val="003A68D0"/>
    <w:rsid w:val="003A7B88"/>
    <w:rsid w:val="003B1CB5"/>
    <w:rsid w:val="003B26D0"/>
    <w:rsid w:val="003B4DC9"/>
    <w:rsid w:val="003C35FC"/>
    <w:rsid w:val="003C3C0C"/>
    <w:rsid w:val="003D0BBF"/>
    <w:rsid w:val="003F1477"/>
    <w:rsid w:val="003F63D8"/>
    <w:rsid w:val="00417A7B"/>
    <w:rsid w:val="0042234A"/>
    <w:rsid w:val="00424D4C"/>
    <w:rsid w:val="004366C4"/>
    <w:rsid w:val="00446915"/>
    <w:rsid w:val="004533F9"/>
    <w:rsid w:val="00456506"/>
    <w:rsid w:val="004726DF"/>
    <w:rsid w:val="004752C6"/>
    <w:rsid w:val="0048039B"/>
    <w:rsid w:val="004829F0"/>
    <w:rsid w:val="004D28B9"/>
    <w:rsid w:val="004D7F37"/>
    <w:rsid w:val="004E75A0"/>
    <w:rsid w:val="005057AF"/>
    <w:rsid w:val="00510E66"/>
    <w:rsid w:val="00512271"/>
    <w:rsid w:val="00527739"/>
    <w:rsid w:val="00535D57"/>
    <w:rsid w:val="005428A1"/>
    <w:rsid w:val="00546C4E"/>
    <w:rsid w:val="00560A45"/>
    <w:rsid w:val="00564E3D"/>
    <w:rsid w:val="00577EC0"/>
    <w:rsid w:val="00586EA7"/>
    <w:rsid w:val="00592492"/>
    <w:rsid w:val="005B0DCB"/>
    <w:rsid w:val="005C002B"/>
    <w:rsid w:val="005D3663"/>
    <w:rsid w:val="005D606F"/>
    <w:rsid w:val="005E02A0"/>
    <w:rsid w:val="005E0656"/>
    <w:rsid w:val="005F3653"/>
    <w:rsid w:val="0060163C"/>
    <w:rsid w:val="0061473E"/>
    <w:rsid w:val="00614F68"/>
    <w:rsid w:val="006321C4"/>
    <w:rsid w:val="00643E72"/>
    <w:rsid w:val="006447D3"/>
    <w:rsid w:val="00644D2C"/>
    <w:rsid w:val="00645EA7"/>
    <w:rsid w:val="0064693E"/>
    <w:rsid w:val="0066599E"/>
    <w:rsid w:val="00667475"/>
    <w:rsid w:val="006754E8"/>
    <w:rsid w:val="006A1941"/>
    <w:rsid w:val="006B4625"/>
    <w:rsid w:val="006F078C"/>
    <w:rsid w:val="006F45BB"/>
    <w:rsid w:val="00707217"/>
    <w:rsid w:val="00710EAD"/>
    <w:rsid w:val="007125BF"/>
    <w:rsid w:val="00723EC9"/>
    <w:rsid w:val="00740942"/>
    <w:rsid w:val="00742554"/>
    <w:rsid w:val="00766C0B"/>
    <w:rsid w:val="00770C33"/>
    <w:rsid w:val="007834F7"/>
    <w:rsid w:val="00791D95"/>
    <w:rsid w:val="0079521B"/>
    <w:rsid w:val="007A7C4F"/>
    <w:rsid w:val="007B0827"/>
    <w:rsid w:val="007B0884"/>
    <w:rsid w:val="007B47E3"/>
    <w:rsid w:val="007C201D"/>
    <w:rsid w:val="007E3193"/>
    <w:rsid w:val="007E4CCF"/>
    <w:rsid w:val="00802E42"/>
    <w:rsid w:val="00813E28"/>
    <w:rsid w:val="00826B03"/>
    <w:rsid w:val="0083316A"/>
    <w:rsid w:val="00852135"/>
    <w:rsid w:val="008546D8"/>
    <w:rsid w:val="00873B81"/>
    <w:rsid w:val="008842DE"/>
    <w:rsid w:val="008857A3"/>
    <w:rsid w:val="00885F11"/>
    <w:rsid w:val="008861FC"/>
    <w:rsid w:val="00887F3C"/>
    <w:rsid w:val="008E52CE"/>
    <w:rsid w:val="0090427E"/>
    <w:rsid w:val="00906E4D"/>
    <w:rsid w:val="00916CA9"/>
    <w:rsid w:val="009410C1"/>
    <w:rsid w:val="0094135C"/>
    <w:rsid w:val="009478A3"/>
    <w:rsid w:val="00954ECF"/>
    <w:rsid w:val="00956A40"/>
    <w:rsid w:val="00957E62"/>
    <w:rsid w:val="00965E1D"/>
    <w:rsid w:val="009671F6"/>
    <w:rsid w:val="00986ADC"/>
    <w:rsid w:val="009871B9"/>
    <w:rsid w:val="0098730B"/>
    <w:rsid w:val="00992A19"/>
    <w:rsid w:val="009B7ACB"/>
    <w:rsid w:val="009C4730"/>
    <w:rsid w:val="009D00D1"/>
    <w:rsid w:val="009D03AE"/>
    <w:rsid w:val="009D22A1"/>
    <w:rsid w:val="009D5646"/>
    <w:rsid w:val="009F0A81"/>
    <w:rsid w:val="009F530F"/>
    <w:rsid w:val="00A06C04"/>
    <w:rsid w:val="00A10754"/>
    <w:rsid w:val="00A11B53"/>
    <w:rsid w:val="00A14CFB"/>
    <w:rsid w:val="00A31047"/>
    <w:rsid w:val="00A311CA"/>
    <w:rsid w:val="00A40314"/>
    <w:rsid w:val="00A4408C"/>
    <w:rsid w:val="00A56D7C"/>
    <w:rsid w:val="00A74E90"/>
    <w:rsid w:val="00A8455C"/>
    <w:rsid w:val="00A96459"/>
    <w:rsid w:val="00AA1C57"/>
    <w:rsid w:val="00AC183C"/>
    <w:rsid w:val="00AE0DB2"/>
    <w:rsid w:val="00AE7861"/>
    <w:rsid w:val="00B06C63"/>
    <w:rsid w:val="00B34685"/>
    <w:rsid w:val="00B430BD"/>
    <w:rsid w:val="00B45EB0"/>
    <w:rsid w:val="00B77DF0"/>
    <w:rsid w:val="00B83115"/>
    <w:rsid w:val="00B8442F"/>
    <w:rsid w:val="00B86A51"/>
    <w:rsid w:val="00B86B23"/>
    <w:rsid w:val="00B91541"/>
    <w:rsid w:val="00B92F63"/>
    <w:rsid w:val="00B93387"/>
    <w:rsid w:val="00BA7DA6"/>
    <w:rsid w:val="00BB16AC"/>
    <w:rsid w:val="00BB1E11"/>
    <w:rsid w:val="00BB5891"/>
    <w:rsid w:val="00BB74B8"/>
    <w:rsid w:val="00BD79D3"/>
    <w:rsid w:val="00BE1537"/>
    <w:rsid w:val="00BF104E"/>
    <w:rsid w:val="00BF4ED9"/>
    <w:rsid w:val="00C04CB6"/>
    <w:rsid w:val="00C43AD6"/>
    <w:rsid w:val="00C44FDF"/>
    <w:rsid w:val="00C514B6"/>
    <w:rsid w:val="00C52440"/>
    <w:rsid w:val="00C5612B"/>
    <w:rsid w:val="00C602B0"/>
    <w:rsid w:val="00C63353"/>
    <w:rsid w:val="00C747C5"/>
    <w:rsid w:val="00C930C6"/>
    <w:rsid w:val="00CA4EE9"/>
    <w:rsid w:val="00CA6322"/>
    <w:rsid w:val="00CB14BC"/>
    <w:rsid w:val="00CB5CE6"/>
    <w:rsid w:val="00CC1DBC"/>
    <w:rsid w:val="00D105D2"/>
    <w:rsid w:val="00D13D28"/>
    <w:rsid w:val="00D20EF0"/>
    <w:rsid w:val="00D258E3"/>
    <w:rsid w:val="00D362B9"/>
    <w:rsid w:val="00D75D2A"/>
    <w:rsid w:val="00D77C17"/>
    <w:rsid w:val="00D77FB6"/>
    <w:rsid w:val="00D8104D"/>
    <w:rsid w:val="00D846AF"/>
    <w:rsid w:val="00DA1AAB"/>
    <w:rsid w:val="00DA1D8F"/>
    <w:rsid w:val="00DA6CEC"/>
    <w:rsid w:val="00DC250C"/>
    <w:rsid w:val="00DD670D"/>
    <w:rsid w:val="00DD6C7A"/>
    <w:rsid w:val="00E06352"/>
    <w:rsid w:val="00E133A5"/>
    <w:rsid w:val="00E13E9F"/>
    <w:rsid w:val="00E20539"/>
    <w:rsid w:val="00E34CD4"/>
    <w:rsid w:val="00E35B91"/>
    <w:rsid w:val="00E62372"/>
    <w:rsid w:val="00E7000D"/>
    <w:rsid w:val="00E71AB2"/>
    <w:rsid w:val="00E96987"/>
    <w:rsid w:val="00E97390"/>
    <w:rsid w:val="00EA11D2"/>
    <w:rsid w:val="00EA431F"/>
    <w:rsid w:val="00EF5D4F"/>
    <w:rsid w:val="00F05B45"/>
    <w:rsid w:val="00F1148A"/>
    <w:rsid w:val="00F21259"/>
    <w:rsid w:val="00F217CA"/>
    <w:rsid w:val="00F356B8"/>
    <w:rsid w:val="00F45B00"/>
    <w:rsid w:val="00F5214C"/>
    <w:rsid w:val="00F57DBA"/>
    <w:rsid w:val="00F62671"/>
    <w:rsid w:val="00F70CCE"/>
    <w:rsid w:val="00F85FAE"/>
    <w:rsid w:val="00F93C66"/>
    <w:rsid w:val="00F94D40"/>
    <w:rsid w:val="00F973B7"/>
    <w:rsid w:val="00FB1EC8"/>
    <w:rsid w:val="00FB33CD"/>
    <w:rsid w:val="00FB3AE3"/>
    <w:rsid w:val="00FB42FA"/>
    <w:rsid w:val="00FB6B9C"/>
    <w:rsid w:val="00FC241C"/>
    <w:rsid w:val="00FC785A"/>
    <w:rsid w:val="00FD1563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CFA390"/>
  <w15:docId w15:val="{F217F563-3CA7-41D8-B199-EFF245CC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42DE"/>
    <w:rPr>
      <w:sz w:val="24"/>
      <w:szCs w:val="24"/>
    </w:rPr>
  </w:style>
  <w:style w:type="paragraph" w:styleId="Heading1">
    <w:name w:val="heading 1"/>
    <w:basedOn w:val="Normal"/>
    <w:next w:val="Normal"/>
    <w:qFormat/>
    <w:rsid w:val="008842DE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842DE"/>
    <w:pPr>
      <w:jc w:val="center"/>
    </w:pPr>
    <w:rPr>
      <w:rFonts w:ascii="Arial" w:hAnsi="Arial" w:cs="Arial"/>
      <w:b/>
      <w:bCs/>
      <w:i/>
      <w:iCs/>
    </w:rPr>
  </w:style>
  <w:style w:type="paragraph" w:styleId="ListParagraph">
    <w:name w:val="List Paragraph"/>
    <w:basedOn w:val="Normal"/>
    <w:uiPriority w:val="34"/>
    <w:qFormat/>
    <w:rsid w:val="0003515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854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54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F1E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a.gov/dnav/pet/pet_pri_gnd_dcus_r20_w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015053632764487CCCD295B55C005" ma:contentTypeVersion="11" ma:contentTypeDescription="Create a new document." ma:contentTypeScope="" ma:versionID="dbc33a79bc734e765cd6fe1fff284942">
  <xsd:schema xmlns:xsd="http://www.w3.org/2001/XMLSchema" xmlns:xs="http://www.w3.org/2001/XMLSchema" xmlns:p="http://schemas.microsoft.com/office/2006/metadata/properties" xmlns:ns2="90752437-68bd-475c-86a8-67f1d6677820" xmlns:ns3="56963302-5c31-401d-a271-72bffc9469c9" targetNamespace="http://schemas.microsoft.com/office/2006/metadata/properties" ma:root="true" ma:fieldsID="79dbe96e6913a036c68a977bf9889620" ns2:_="" ns3:_="">
    <xsd:import namespace="90752437-68bd-475c-86a8-67f1d6677820"/>
    <xsd:import namespace="56963302-5c31-401d-a271-72bffc946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52437-68bd-475c-86a8-67f1d6677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63302-5c31-401d-a271-72bffc9469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bb476b2-9eab-4b2a-ba28-e4201fcd8718}" ma:internalName="TaxCatchAll" ma:showField="CatchAllData" ma:web="56963302-5c31-401d-a271-72bffc946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52437-68bd-475c-86a8-67f1d6677820">
      <Terms xmlns="http://schemas.microsoft.com/office/infopath/2007/PartnerControls"/>
    </lcf76f155ced4ddcb4097134ff3c332f>
    <TaxCatchAll xmlns="56963302-5c31-401d-a271-72bffc9469c9" xsi:nil="true"/>
  </documentManagement>
</p:properties>
</file>

<file path=customXml/itemProps1.xml><?xml version="1.0" encoding="utf-8"?>
<ds:datastoreItem xmlns:ds="http://schemas.openxmlformats.org/officeDocument/2006/customXml" ds:itemID="{697576AD-AE93-413C-A23C-8582B1F35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52437-68bd-475c-86a8-67f1d6677820"/>
    <ds:schemaRef ds:uri="56963302-5c31-401d-a271-72bffc946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6E1C9-6E01-4919-A93F-5579527E9F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4FE88-E08B-4CC9-B6EE-9DBA1D2477B8}">
  <ds:schemaRefs>
    <ds:schemaRef ds:uri="http://schemas.microsoft.com/office/2006/metadata/properties"/>
    <ds:schemaRef ds:uri="http://schemas.microsoft.com/office/infopath/2007/PartnerControls"/>
    <ds:schemaRef ds:uri="90752437-68bd-475c-86a8-67f1d6677820"/>
    <ds:schemaRef ds:uri="56963302-5c31-401d-a271-72bffc9469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Ownership of RAP millings  - MAPA &amp; MODOT</vt:lpstr>
    </vt:vector>
  </TitlesOfParts>
  <Company>MoDOT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Ownership of RAP millings  - MAPA &amp; MODOT</dc:title>
  <dc:creator>bryand</dc:creator>
  <cp:lastModifiedBy>MAPA</cp:lastModifiedBy>
  <cp:revision>38</cp:revision>
  <cp:lastPrinted>2023-05-25T13:14:00Z</cp:lastPrinted>
  <dcterms:created xsi:type="dcterms:W3CDTF">2024-02-16T15:53:00Z</dcterms:created>
  <dcterms:modified xsi:type="dcterms:W3CDTF">2024-02-16T18:59:00Z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0x010100B9F015053632764487CCCD295B55C005</vt:lpwstr>
  </property>
  <property fmtid="{D5CDD505-2E9C-101B-9397-08002B2CF9AE}" pid="3" name="Order">
    <vt:r8>22807800</vt:r8>
  </property>
  <property fmtid="{D5CDD505-2E9C-101B-9397-08002B2CF9AE}" pid="4" name="_ExtendedDescription">
    <vt:lpwstr/>
  </property>
</Properties>
</file>