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E80E" w14:textId="77777777" w:rsidR="00770C33" w:rsidRDefault="002A15C2">
      <w:r>
        <w:rPr>
          <w:noProof/>
          <w:sz w:val="20"/>
        </w:rPr>
        <mc:AlternateContent>
          <mc:Choice Requires="wps">
            <w:drawing>
              <wp:anchor distT="0" distB="0" distL="114300" distR="114300" simplePos="0" relativeHeight="251657728" behindDoc="0" locked="0" layoutInCell="1" allowOverlap="1" wp14:anchorId="24B27B2C" wp14:editId="23825177">
                <wp:simplePos x="0" y="0"/>
                <wp:positionH relativeFrom="column">
                  <wp:posOffset>0</wp:posOffset>
                </wp:positionH>
                <wp:positionV relativeFrom="paragraph">
                  <wp:posOffset>-114300</wp:posOffset>
                </wp:positionV>
                <wp:extent cx="5829300" cy="981075"/>
                <wp:effectExtent l="38100" t="38100" r="38100" b="476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81075"/>
                        </a:xfrm>
                        <a:prstGeom prst="rect">
                          <a:avLst/>
                        </a:prstGeom>
                        <a:solidFill>
                          <a:srgbClr val="FFFFFF"/>
                        </a:solidFill>
                        <a:ln w="76200" cmpd="tri">
                          <a:solidFill>
                            <a:srgbClr val="000000"/>
                          </a:solidFill>
                          <a:miter lim="800000"/>
                          <a:headEnd/>
                          <a:tailEnd/>
                        </a:ln>
                      </wps:spPr>
                      <wps:txbx>
                        <w:txbxContent>
                          <w:p w14:paraId="283172AC" w14:textId="6AC2017F" w:rsidR="00D77FB6" w:rsidRDefault="00D7783A">
                            <w:pPr>
                              <w:pStyle w:val="Title"/>
                              <w:rPr>
                                <w:rFonts w:ascii="Times New Roman" w:hAnsi="Times New Roman" w:cs="Times New Roman"/>
                                <w:sz w:val="32"/>
                              </w:rPr>
                            </w:pPr>
                            <w:r>
                              <w:rPr>
                                <w:rFonts w:ascii="Times New Roman" w:hAnsi="Times New Roman" w:cs="Times New Roman"/>
                                <w:sz w:val="32"/>
                              </w:rPr>
                              <w:t>Minutes</w:t>
                            </w:r>
                          </w:p>
                          <w:p w14:paraId="0C08E7B6" w14:textId="77777777" w:rsidR="00D77FB6" w:rsidRDefault="00D77FB6">
                            <w:pPr>
                              <w:jc w:val="center"/>
                              <w:rPr>
                                <w:b/>
                              </w:rPr>
                            </w:pPr>
                            <w:r>
                              <w:rPr>
                                <w:b/>
                              </w:rPr>
                              <w:t>MAPA / MoDOT Quarterly Meeting</w:t>
                            </w:r>
                          </w:p>
                          <w:p w14:paraId="4566D58E" w14:textId="43EACBDB" w:rsidR="00D77FB6" w:rsidRDefault="0049204C">
                            <w:pPr>
                              <w:jc w:val="center"/>
                              <w:rPr>
                                <w:b/>
                              </w:rPr>
                            </w:pPr>
                            <w:r>
                              <w:rPr>
                                <w:b/>
                              </w:rPr>
                              <w:t>January 21</w:t>
                            </w:r>
                            <w:r w:rsidR="00D77FB6">
                              <w:rPr>
                                <w:b/>
                              </w:rPr>
                              <w:t>, 202</w:t>
                            </w:r>
                            <w:r>
                              <w:rPr>
                                <w:b/>
                              </w:rPr>
                              <w:t>5</w:t>
                            </w:r>
                            <w:r w:rsidR="00D77FB6">
                              <w:rPr>
                                <w:b/>
                              </w:rPr>
                              <w:t xml:space="preserve"> / 1:00 – 3:00 p.m.</w:t>
                            </w:r>
                          </w:p>
                          <w:p w14:paraId="5C7874FB" w14:textId="2A4D425E" w:rsidR="00D77FB6" w:rsidRDefault="00D77FB6">
                            <w:pPr>
                              <w:jc w:val="center"/>
                              <w:rPr>
                                <w:b/>
                              </w:rPr>
                            </w:pPr>
                            <w:r>
                              <w:rPr>
                                <w:b/>
                              </w:rPr>
                              <w:t>Videoconference</w:t>
                            </w:r>
                            <w:r w:rsidR="004726DF">
                              <w:rPr>
                                <w:b/>
                              </w:rPr>
                              <w:t xml:space="preserve"> / In-person</w:t>
                            </w:r>
                          </w:p>
                          <w:p w14:paraId="142CB912" w14:textId="77777777" w:rsidR="00D77FB6" w:rsidRDefault="00D77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27B2C" id="_x0000_t202" coordsize="21600,21600" o:spt="202" path="m,l,21600r21600,l21600,xe">
                <v:stroke joinstyle="miter"/>
                <v:path gradientshapeok="t" o:connecttype="rect"/>
              </v:shapetype>
              <v:shape id="Text Box 3" o:spid="_x0000_s1026" type="#_x0000_t202" style="position:absolute;margin-left:0;margin-top:-9pt;width:459pt;height:7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" strokeweight="6pt">
                <v:stroke linestyle="thickBetweenThin"/>
                <v:textbox>
                  <w:txbxContent>
                    <w:p w14:paraId="283172AC" w14:textId="6AC2017F" w:rsidR="00D77FB6" w:rsidRDefault="00D7783A">
                      <w:pPr>
                        <w:pStyle w:val="Title"/>
                        <w:rPr>
                          <w:rFonts w:ascii="Times New Roman" w:hAnsi="Times New Roman" w:cs="Times New Roman"/>
                          <w:sz w:val="32"/>
                        </w:rPr>
                      </w:pPr>
                      <w:r>
                        <w:rPr>
                          <w:rFonts w:ascii="Times New Roman" w:hAnsi="Times New Roman" w:cs="Times New Roman"/>
                          <w:sz w:val="32"/>
                        </w:rPr>
                        <w:t>Minutes</w:t>
                      </w:r>
                    </w:p>
                    <w:p w14:paraId="0C08E7B6" w14:textId="77777777" w:rsidR="00D77FB6" w:rsidRDefault="00D77FB6">
                      <w:pPr>
                        <w:jc w:val="center"/>
                        <w:rPr>
                          <w:b/>
                        </w:rPr>
                      </w:pPr>
                      <w:r>
                        <w:rPr>
                          <w:b/>
                        </w:rPr>
                        <w:t>MAPA / MoDOT Quarterly Meeting</w:t>
                      </w:r>
                    </w:p>
                    <w:p w14:paraId="4566D58E" w14:textId="43EACBDB" w:rsidR="00D77FB6" w:rsidRDefault="0049204C">
                      <w:pPr>
                        <w:jc w:val="center"/>
                        <w:rPr>
                          <w:b/>
                        </w:rPr>
                      </w:pPr>
                      <w:r>
                        <w:rPr>
                          <w:b/>
                        </w:rPr>
                        <w:t>January 21</w:t>
                      </w:r>
                      <w:r w:rsidR="00D77FB6">
                        <w:rPr>
                          <w:b/>
                        </w:rPr>
                        <w:t>, 202</w:t>
                      </w:r>
                      <w:r>
                        <w:rPr>
                          <w:b/>
                        </w:rPr>
                        <w:t>5</w:t>
                      </w:r>
                      <w:r w:rsidR="00D77FB6">
                        <w:rPr>
                          <w:b/>
                        </w:rPr>
                        <w:t xml:space="preserve"> / 1:00 – 3:00 p.m.</w:t>
                      </w:r>
                    </w:p>
                    <w:p w14:paraId="5C7874FB" w14:textId="2A4D425E" w:rsidR="00D77FB6" w:rsidRDefault="00D77FB6">
                      <w:pPr>
                        <w:jc w:val="center"/>
                        <w:rPr>
                          <w:b/>
                        </w:rPr>
                      </w:pPr>
                      <w:r>
                        <w:rPr>
                          <w:b/>
                        </w:rPr>
                        <w:t>Videoconference</w:t>
                      </w:r>
                      <w:r w:rsidR="004726DF">
                        <w:rPr>
                          <w:b/>
                        </w:rPr>
                        <w:t xml:space="preserve"> / In-person</w:t>
                      </w:r>
                    </w:p>
                    <w:p w14:paraId="142CB912" w14:textId="77777777" w:rsidR="00D77FB6" w:rsidRDefault="00D77FB6"/>
                  </w:txbxContent>
                </v:textbox>
              </v:shape>
            </w:pict>
          </mc:Fallback>
        </mc:AlternateContent>
      </w:r>
    </w:p>
    <w:p w14:paraId="2E6B6363" w14:textId="77777777" w:rsidR="00770C33" w:rsidRDefault="00770C33"/>
    <w:p w14:paraId="68D0A202" w14:textId="77777777" w:rsidR="00770C33" w:rsidRDefault="00770C33"/>
    <w:p w14:paraId="26E406C9" w14:textId="77777777" w:rsidR="00770C33" w:rsidRDefault="00770C33"/>
    <w:p w14:paraId="14E5219E" w14:textId="77777777" w:rsidR="00770C33" w:rsidRDefault="00770C33"/>
    <w:p w14:paraId="354760A6" w14:textId="77777777" w:rsidR="00770C33" w:rsidRDefault="00770C33"/>
    <w:p w14:paraId="29DFBB90" w14:textId="77777777" w:rsidR="00826B03" w:rsidRDefault="00826B03" w:rsidP="00290C73">
      <w:pPr>
        <w:jc w:val="center"/>
        <w:rPr>
          <w:b/>
          <w:sz w:val="28"/>
          <w:szCs w:val="28"/>
        </w:rPr>
      </w:pPr>
    </w:p>
    <w:p w14:paraId="7B90A879" w14:textId="7978C9B9" w:rsidR="002E45E7" w:rsidRPr="00290C73" w:rsidRDefault="00614F68" w:rsidP="00290C73">
      <w:pPr>
        <w:jc w:val="center"/>
        <w:rPr>
          <w:b/>
          <w:sz w:val="28"/>
          <w:szCs w:val="28"/>
        </w:rPr>
      </w:pPr>
      <w:r w:rsidRPr="00290C73">
        <w:rPr>
          <w:b/>
          <w:sz w:val="28"/>
          <w:szCs w:val="28"/>
        </w:rPr>
        <w:t>Agenda Items</w:t>
      </w:r>
    </w:p>
    <w:p w14:paraId="779C3339" w14:textId="77777777" w:rsidR="00241E56" w:rsidRPr="007E4CCF" w:rsidRDefault="00241E56" w:rsidP="00241E56">
      <w:r>
        <w:t> </w:t>
      </w:r>
    </w:p>
    <w:p w14:paraId="68B945C6" w14:textId="77777777" w:rsidR="00B83115" w:rsidRDefault="00B83115" w:rsidP="00B83115">
      <w:r>
        <w:t> </w:t>
      </w:r>
    </w:p>
    <w:p w14:paraId="03FA2D42" w14:textId="1054B95D" w:rsidR="00AA1C57" w:rsidRDefault="00403F68" w:rsidP="00744796">
      <w:pPr>
        <w:pStyle w:val="ListParagraph"/>
        <w:numPr>
          <w:ilvl w:val="0"/>
          <w:numId w:val="9"/>
        </w:numPr>
        <w:rPr>
          <w:rFonts w:asciiTheme="minorHAnsi" w:hAnsiTheme="minorHAnsi" w:cstheme="minorHAnsi"/>
        </w:rPr>
      </w:pPr>
      <w:r>
        <w:rPr>
          <w:rFonts w:asciiTheme="minorHAnsi" w:hAnsiTheme="minorHAnsi" w:cstheme="minorHAnsi"/>
        </w:rPr>
        <w:t xml:space="preserve">DBE </w:t>
      </w:r>
      <w:r w:rsidR="00114B02" w:rsidRPr="00061BA6">
        <w:rPr>
          <w:rFonts w:asciiTheme="minorHAnsi" w:hAnsiTheme="minorHAnsi" w:cstheme="minorHAnsi"/>
        </w:rPr>
        <w:t>Update</w:t>
      </w:r>
    </w:p>
    <w:p w14:paraId="3D65F531" w14:textId="2119864C" w:rsidR="00DB4C3E" w:rsidRPr="00DB4C3E" w:rsidRDefault="00DB4C3E" w:rsidP="00DB4C3E">
      <w:pPr>
        <w:pStyle w:val="NormalWeb"/>
        <w:ind w:left="720"/>
        <w:rPr>
          <w:color w:val="0070C0"/>
        </w:rPr>
      </w:pPr>
      <w:r w:rsidRPr="00DB4C3E">
        <w:rPr>
          <w:color w:val="0070C0"/>
        </w:rPr>
        <w:t xml:space="preserve">Starting with the April 2025 letting, prime contractors bidding on federally funded projects will be required to comply with new federal requirements by submitting a bidders list spreadsheet. This spreadsheet, located in the </w:t>
      </w:r>
      <w:hyperlink r:id="rId8" w:history="1">
        <w:r w:rsidRPr="00DB4C3E">
          <w:rPr>
            <w:rStyle w:val="Hyperlink"/>
          </w:rPr>
          <w:t>Forms</w:t>
        </w:r>
      </w:hyperlink>
      <w:r w:rsidRPr="00DB4C3E">
        <w:rPr>
          <w:color w:val="0070C0"/>
        </w:rPr>
        <w:t xml:space="preserve"> section of the MoDOT Contractor Resources page, must include information on all subcontractors and material suppliers considered during bid preparation for each project, even if the DBE goal is 0%.</w:t>
      </w:r>
    </w:p>
    <w:p w14:paraId="0B7C1CD7" w14:textId="77777777" w:rsidR="00DB4C3E" w:rsidRPr="00DB4C3E" w:rsidRDefault="00DB4C3E" w:rsidP="00DB4C3E">
      <w:pPr>
        <w:pStyle w:val="NormalWeb"/>
        <w:ind w:left="720"/>
        <w:rPr>
          <w:color w:val="0070C0"/>
        </w:rPr>
      </w:pPr>
      <w:r w:rsidRPr="00DB4C3E">
        <w:rPr>
          <w:color w:val="0070C0"/>
        </w:rPr>
        <w:t>Key details regarding the bidders list requirements:</w:t>
      </w:r>
    </w:p>
    <w:p w14:paraId="336B14E3" w14:textId="77777777" w:rsidR="00DB4C3E" w:rsidRPr="00DB4C3E" w:rsidRDefault="00DB4C3E" w:rsidP="00DB4C3E">
      <w:pPr>
        <w:numPr>
          <w:ilvl w:val="0"/>
          <w:numId w:val="17"/>
        </w:numPr>
        <w:tabs>
          <w:tab w:val="clear" w:pos="720"/>
          <w:tab w:val="num" w:pos="1440"/>
        </w:tabs>
        <w:spacing w:before="100" w:beforeAutospacing="1" w:after="100" w:afterAutospacing="1"/>
        <w:ind w:left="1440"/>
        <w:rPr>
          <w:color w:val="0070C0"/>
        </w:rPr>
      </w:pPr>
      <w:r w:rsidRPr="00DB4C3E">
        <w:rPr>
          <w:rStyle w:val="Strong"/>
          <w:color w:val="0070C0"/>
        </w:rPr>
        <w:t>Spreadsheet Development</w:t>
      </w:r>
      <w:r w:rsidRPr="00DB4C3E">
        <w:rPr>
          <w:color w:val="0070C0"/>
        </w:rPr>
        <w:t>: The Bidders List Excel spreadsheet was created by the Business Development and Compliance (BDC) team (formerly known as External Civil Rights, ECR) to assist bidders in providing the required information.</w:t>
      </w:r>
    </w:p>
    <w:p w14:paraId="2E0D0575" w14:textId="77777777" w:rsidR="00DB4C3E" w:rsidRPr="00DB4C3E" w:rsidRDefault="00DB4C3E" w:rsidP="00DB4C3E">
      <w:pPr>
        <w:numPr>
          <w:ilvl w:val="0"/>
          <w:numId w:val="17"/>
        </w:numPr>
        <w:tabs>
          <w:tab w:val="clear" w:pos="720"/>
          <w:tab w:val="num" w:pos="1440"/>
        </w:tabs>
        <w:spacing w:before="100" w:beforeAutospacing="1" w:after="100" w:afterAutospacing="1"/>
        <w:ind w:left="1440"/>
        <w:rPr>
          <w:color w:val="0070C0"/>
        </w:rPr>
      </w:pPr>
      <w:r w:rsidRPr="00DB4C3E">
        <w:rPr>
          <w:rStyle w:val="Strong"/>
          <w:color w:val="0070C0"/>
        </w:rPr>
        <w:t>Submission Process</w:t>
      </w:r>
      <w:r w:rsidRPr="00DB4C3E">
        <w:rPr>
          <w:color w:val="0070C0"/>
        </w:rPr>
        <w:t>: A Bidders List tab will be available in Bid Express (</w:t>
      </w:r>
      <w:proofErr w:type="spellStart"/>
      <w:r w:rsidRPr="00DB4C3E">
        <w:rPr>
          <w:color w:val="0070C0"/>
        </w:rPr>
        <w:t>BidX</w:t>
      </w:r>
      <w:proofErr w:type="spellEnd"/>
      <w:r w:rsidRPr="00DB4C3E">
        <w:rPr>
          <w:color w:val="0070C0"/>
        </w:rPr>
        <w:t>), where bidders can upload the completed spreadsheet as an attachment.</w:t>
      </w:r>
    </w:p>
    <w:p w14:paraId="44972DCC" w14:textId="77777777" w:rsidR="00DB4C3E" w:rsidRPr="00DB4C3E" w:rsidRDefault="00DB4C3E" w:rsidP="00DB4C3E">
      <w:pPr>
        <w:numPr>
          <w:ilvl w:val="0"/>
          <w:numId w:val="17"/>
        </w:numPr>
        <w:tabs>
          <w:tab w:val="clear" w:pos="720"/>
          <w:tab w:val="num" w:pos="1440"/>
        </w:tabs>
        <w:spacing w:before="100" w:beforeAutospacing="1" w:after="100" w:afterAutospacing="1"/>
        <w:ind w:left="1440"/>
        <w:rPr>
          <w:color w:val="0070C0"/>
        </w:rPr>
      </w:pPr>
      <w:r w:rsidRPr="00DB4C3E">
        <w:rPr>
          <w:rStyle w:val="Strong"/>
          <w:color w:val="0070C0"/>
        </w:rPr>
        <w:t>Compliance</w:t>
      </w:r>
      <w:r w:rsidRPr="00DB4C3E">
        <w:rPr>
          <w:color w:val="0070C0"/>
        </w:rPr>
        <w:t>: Failure to upload the spreadsheet at the time of bid submission may result in the bid being deemed irregular.</w:t>
      </w:r>
    </w:p>
    <w:p w14:paraId="76C4D235" w14:textId="77777777" w:rsidR="00DB4C3E" w:rsidRPr="00DB4C3E" w:rsidRDefault="00DB4C3E" w:rsidP="00DB4C3E">
      <w:pPr>
        <w:numPr>
          <w:ilvl w:val="0"/>
          <w:numId w:val="17"/>
        </w:numPr>
        <w:tabs>
          <w:tab w:val="clear" w:pos="720"/>
          <w:tab w:val="num" w:pos="1440"/>
        </w:tabs>
        <w:spacing w:before="100" w:beforeAutospacing="1" w:after="100" w:afterAutospacing="1"/>
        <w:ind w:left="1440"/>
        <w:rPr>
          <w:color w:val="0070C0"/>
        </w:rPr>
      </w:pPr>
      <w:r w:rsidRPr="00DB4C3E">
        <w:rPr>
          <w:rStyle w:val="Strong"/>
          <w:color w:val="0070C0"/>
        </w:rPr>
        <w:t>Transition Period</w:t>
      </w:r>
      <w:r w:rsidRPr="00DB4C3E">
        <w:rPr>
          <w:color w:val="0070C0"/>
        </w:rPr>
        <w:t xml:space="preserve">: To ensure a smooth implementation, MoDOT does not intend to reject bids immediately due to errors. The focus will initially be on addressing technical issues </w:t>
      </w:r>
      <w:proofErr w:type="gramStart"/>
      <w:r w:rsidRPr="00DB4C3E">
        <w:rPr>
          <w:color w:val="0070C0"/>
        </w:rPr>
        <w:t>with</w:t>
      </w:r>
      <w:proofErr w:type="gramEnd"/>
      <w:r w:rsidRPr="00DB4C3E">
        <w:rPr>
          <w:color w:val="0070C0"/>
        </w:rPr>
        <w:t xml:space="preserve"> uploading the form until the process is confirmed reliable.</w:t>
      </w:r>
    </w:p>
    <w:p w14:paraId="77C1390E" w14:textId="1B8758D9" w:rsidR="00DB4C3E" w:rsidRDefault="00DB4C3E" w:rsidP="00DB4C3E">
      <w:pPr>
        <w:pStyle w:val="NormalWeb"/>
        <w:ind w:left="720"/>
      </w:pPr>
      <w:r w:rsidRPr="00DB4C3E">
        <w:rPr>
          <w:color w:val="0070C0"/>
        </w:rPr>
        <w:t xml:space="preserve">This new process replaces the current </w:t>
      </w:r>
      <w:hyperlink r:id="rId9" w:history="1">
        <w:r w:rsidRPr="00592A43">
          <w:rPr>
            <w:rStyle w:val="Hyperlink"/>
          </w:rPr>
          <w:t>DBE and non-DBE Subcontractor Reporting Form</w:t>
        </w:r>
      </w:hyperlink>
      <w:r w:rsidRPr="00DB4C3E">
        <w:rPr>
          <w:color w:val="0070C0"/>
        </w:rPr>
        <w:t>. The JSP language is included as an attachment under item 2, while the detailed bidders list requirements are provided as a separate attachment for reference.</w:t>
      </w:r>
    </w:p>
    <w:p w14:paraId="159713E1" w14:textId="77777777" w:rsidR="000C10DB" w:rsidRDefault="000C10DB" w:rsidP="000C10DB">
      <w:pPr>
        <w:pStyle w:val="ListParagraph"/>
        <w:rPr>
          <w:rFonts w:asciiTheme="minorHAnsi" w:hAnsiTheme="minorHAnsi" w:cstheme="minorHAnsi"/>
        </w:rPr>
      </w:pPr>
    </w:p>
    <w:p w14:paraId="4EAB8D07" w14:textId="6C08852A" w:rsidR="00B470BD" w:rsidRDefault="00B470BD" w:rsidP="00744796">
      <w:pPr>
        <w:pStyle w:val="ListParagraph"/>
        <w:numPr>
          <w:ilvl w:val="0"/>
          <w:numId w:val="9"/>
        </w:numPr>
        <w:rPr>
          <w:rFonts w:asciiTheme="minorHAnsi" w:hAnsiTheme="minorHAnsi" w:cstheme="minorHAnsi"/>
        </w:rPr>
      </w:pPr>
      <w:r w:rsidRPr="00061BA6">
        <w:rPr>
          <w:rFonts w:asciiTheme="minorHAnsi" w:hAnsiTheme="minorHAnsi" w:cstheme="minorHAnsi"/>
        </w:rPr>
        <w:t xml:space="preserve">MoDOT Design Standards </w:t>
      </w:r>
      <w:r>
        <w:rPr>
          <w:rFonts w:asciiTheme="minorHAnsi" w:hAnsiTheme="minorHAnsi" w:cstheme="minorHAnsi"/>
        </w:rPr>
        <w:t>Update</w:t>
      </w:r>
    </w:p>
    <w:p w14:paraId="38BFB516" w14:textId="77777777" w:rsidR="00326227" w:rsidRDefault="00326227" w:rsidP="00326227">
      <w:pPr>
        <w:rPr>
          <w:rFonts w:asciiTheme="minorHAnsi" w:hAnsiTheme="minorHAnsi" w:cstheme="minorHAnsi"/>
        </w:rPr>
      </w:pPr>
    </w:p>
    <w:p w14:paraId="1A05D1B5" w14:textId="178D0A0B" w:rsidR="00326227" w:rsidRPr="00326227" w:rsidRDefault="00FB7C69" w:rsidP="00FB7C69">
      <w:pPr>
        <w:ind w:left="360" w:firstLine="360"/>
        <w:rPr>
          <w:rFonts w:asciiTheme="minorHAnsi" w:hAnsiTheme="minorHAnsi" w:cstheme="minorHAnsi"/>
          <w:color w:val="0070C0"/>
        </w:rPr>
      </w:pPr>
      <w:r>
        <w:rPr>
          <w:rFonts w:asciiTheme="minorHAnsi" w:hAnsiTheme="minorHAnsi" w:cstheme="minorHAnsi"/>
          <w:color w:val="0070C0"/>
        </w:rPr>
        <w:t>See attached Design Standards Update.</w:t>
      </w:r>
    </w:p>
    <w:p w14:paraId="1C2E798B" w14:textId="77777777" w:rsidR="00DE7312" w:rsidRPr="00061BA6" w:rsidRDefault="00DE7312" w:rsidP="00DE7312">
      <w:pPr>
        <w:pStyle w:val="ListParagraph"/>
        <w:ind w:left="1440"/>
        <w:rPr>
          <w:rFonts w:asciiTheme="minorHAnsi" w:hAnsiTheme="minorHAnsi" w:cstheme="minorHAnsi"/>
        </w:rPr>
      </w:pPr>
    </w:p>
    <w:p w14:paraId="0A6B5C0D" w14:textId="77777777" w:rsidR="00647324" w:rsidRDefault="009D5B5B" w:rsidP="00647324">
      <w:pPr>
        <w:pStyle w:val="ListParagraph"/>
        <w:numPr>
          <w:ilvl w:val="0"/>
          <w:numId w:val="9"/>
        </w:numPr>
        <w:rPr>
          <w:rFonts w:asciiTheme="minorHAnsi" w:hAnsiTheme="minorHAnsi" w:cstheme="minorHAnsi"/>
        </w:rPr>
      </w:pPr>
      <w:r w:rsidRPr="00061BA6">
        <w:rPr>
          <w:rFonts w:asciiTheme="minorHAnsi" w:hAnsiTheme="minorHAnsi" w:cstheme="minorHAnsi"/>
        </w:rPr>
        <w:t>Bituminous Technical Team Update</w:t>
      </w:r>
    </w:p>
    <w:p w14:paraId="18761765" w14:textId="77777777" w:rsidR="009948E5" w:rsidRDefault="009948E5" w:rsidP="009948E5">
      <w:pPr>
        <w:rPr>
          <w:rFonts w:asciiTheme="minorHAnsi" w:hAnsiTheme="minorHAnsi" w:cstheme="minorHAnsi"/>
        </w:rPr>
      </w:pPr>
    </w:p>
    <w:p w14:paraId="6C42DF3D" w14:textId="54369F35" w:rsidR="009948E5" w:rsidRPr="009948E5" w:rsidRDefault="009948E5" w:rsidP="009948E5">
      <w:pPr>
        <w:ind w:left="720"/>
        <w:rPr>
          <w:rFonts w:asciiTheme="minorHAnsi" w:hAnsiTheme="minorHAnsi" w:cstheme="minorHAnsi"/>
          <w:color w:val="0070C0"/>
        </w:rPr>
      </w:pPr>
      <w:r w:rsidRPr="009948E5">
        <w:rPr>
          <w:rFonts w:asciiTheme="minorHAnsi" w:hAnsiTheme="minorHAnsi" w:cstheme="minorHAnsi"/>
          <w:color w:val="0070C0"/>
        </w:rPr>
        <w:t>The following is a summary of the topics discussed at the Bituminous Technical Team Meeting:</w:t>
      </w:r>
    </w:p>
    <w:p w14:paraId="6B0D7DC2" w14:textId="77777777" w:rsidR="00FB7C69" w:rsidRDefault="00FB7C69" w:rsidP="00FB7C69">
      <w:pPr>
        <w:rPr>
          <w:rFonts w:asciiTheme="minorHAnsi" w:hAnsiTheme="minorHAnsi" w:cstheme="minorHAnsi"/>
        </w:rPr>
      </w:pPr>
    </w:p>
    <w:p w14:paraId="41C95726" w14:textId="71421F21" w:rsidR="00245778" w:rsidRPr="00245778" w:rsidRDefault="00245778" w:rsidP="00245778">
      <w:pPr>
        <w:ind w:left="720"/>
        <w:rPr>
          <w:rFonts w:asciiTheme="minorHAnsi" w:hAnsiTheme="minorHAnsi" w:cstheme="minorHAnsi"/>
          <w:color w:val="0070C0"/>
        </w:rPr>
      </w:pPr>
      <w:r w:rsidRPr="00245778">
        <w:rPr>
          <w:rFonts w:asciiTheme="minorHAnsi" w:hAnsiTheme="minorHAnsi" w:cstheme="minorHAnsi"/>
          <w:color w:val="0070C0"/>
        </w:rPr>
        <w:t>Balanced Mix Design EPG – Review of Question and Answers</w:t>
      </w:r>
      <w:r w:rsidR="00350A65">
        <w:rPr>
          <w:rFonts w:asciiTheme="minorHAnsi" w:hAnsiTheme="minorHAnsi" w:cstheme="minorHAnsi"/>
          <w:color w:val="0070C0"/>
        </w:rPr>
        <w:t xml:space="preserve"> – See attached document.</w:t>
      </w:r>
    </w:p>
    <w:p w14:paraId="64211C14" w14:textId="77777777" w:rsidR="00245778" w:rsidRPr="00245778" w:rsidRDefault="00245778" w:rsidP="00245778">
      <w:pPr>
        <w:ind w:left="720"/>
        <w:rPr>
          <w:rFonts w:asciiTheme="minorHAnsi" w:hAnsiTheme="minorHAnsi" w:cstheme="minorHAnsi"/>
          <w:color w:val="0070C0"/>
        </w:rPr>
      </w:pPr>
    </w:p>
    <w:p w14:paraId="653F0BD9" w14:textId="5C7351D0" w:rsidR="00245778" w:rsidRPr="00245778" w:rsidRDefault="00245778" w:rsidP="00245778">
      <w:pPr>
        <w:ind w:left="720"/>
        <w:rPr>
          <w:rFonts w:asciiTheme="minorHAnsi" w:hAnsiTheme="minorHAnsi" w:cstheme="minorHAnsi"/>
          <w:color w:val="0070C0"/>
        </w:rPr>
      </w:pPr>
      <w:r w:rsidRPr="00245778">
        <w:rPr>
          <w:rFonts w:asciiTheme="minorHAnsi" w:hAnsiTheme="minorHAnsi" w:cstheme="minorHAnsi"/>
          <w:color w:val="0070C0"/>
        </w:rPr>
        <w:t>Flushing/Bleeding Specification Update</w:t>
      </w:r>
    </w:p>
    <w:p w14:paraId="3EB662D7" w14:textId="77777777" w:rsidR="00245778" w:rsidRPr="00245778" w:rsidRDefault="00245778" w:rsidP="00245778">
      <w:pPr>
        <w:ind w:left="720"/>
        <w:rPr>
          <w:rFonts w:asciiTheme="minorHAnsi" w:hAnsiTheme="minorHAnsi" w:cstheme="minorHAnsi"/>
          <w:color w:val="0070C0"/>
        </w:rPr>
      </w:pPr>
    </w:p>
    <w:p w14:paraId="75FAB83B" w14:textId="4F167087" w:rsidR="00245778" w:rsidRPr="00245778" w:rsidRDefault="00245778" w:rsidP="00245778">
      <w:pPr>
        <w:ind w:left="720"/>
        <w:rPr>
          <w:rFonts w:asciiTheme="minorHAnsi" w:hAnsiTheme="minorHAnsi" w:cstheme="minorHAnsi"/>
          <w:color w:val="0070C0"/>
        </w:rPr>
      </w:pPr>
      <w:proofErr w:type="spellStart"/>
      <w:r w:rsidRPr="00245778">
        <w:rPr>
          <w:rFonts w:asciiTheme="minorHAnsi" w:hAnsiTheme="minorHAnsi" w:cstheme="minorHAnsi"/>
          <w:color w:val="0070C0"/>
        </w:rPr>
        <w:t>Transtec</w:t>
      </w:r>
      <w:proofErr w:type="spellEnd"/>
      <w:r w:rsidRPr="00245778">
        <w:rPr>
          <w:rFonts w:asciiTheme="minorHAnsi" w:hAnsiTheme="minorHAnsi" w:cstheme="minorHAnsi"/>
          <w:color w:val="0070C0"/>
        </w:rPr>
        <w:t xml:space="preserve"> Veta Training Date February 4th and 5th</w:t>
      </w:r>
    </w:p>
    <w:p w14:paraId="2E7A9F61" w14:textId="2AE7CE53" w:rsidR="00245778" w:rsidRPr="00245778" w:rsidRDefault="00245778" w:rsidP="00245778">
      <w:pPr>
        <w:ind w:left="720"/>
        <w:rPr>
          <w:rFonts w:asciiTheme="minorHAnsi" w:hAnsiTheme="minorHAnsi" w:cstheme="minorHAnsi"/>
          <w:color w:val="0070C0"/>
        </w:rPr>
      </w:pPr>
      <w:r w:rsidRPr="00245778">
        <w:rPr>
          <w:rFonts w:asciiTheme="minorHAnsi" w:hAnsiTheme="minorHAnsi" w:cstheme="minorHAnsi"/>
          <w:color w:val="0070C0"/>
        </w:rPr>
        <w:tab/>
        <w:t>February 4th MoDOT QA Training</w:t>
      </w:r>
    </w:p>
    <w:p w14:paraId="42ECCCC9" w14:textId="19E3137B" w:rsidR="00FB7C69" w:rsidRPr="00245778" w:rsidRDefault="00245778" w:rsidP="00245778">
      <w:pPr>
        <w:ind w:left="720"/>
        <w:rPr>
          <w:rFonts w:asciiTheme="minorHAnsi" w:hAnsiTheme="minorHAnsi" w:cstheme="minorHAnsi"/>
          <w:color w:val="0070C0"/>
        </w:rPr>
      </w:pPr>
      <w:r w:rsidRPr="00245778">
        <w:rPr>
          <w:rFonts w:asciiTheme="minorHAnsi" w:hAnsiTheme="minorHAnsi" w:cstheme="minorHAnsi"/>
          <w:color w:val="0070C0"/>
        </w:rPr>
        <w:tab/>
        <w:t>February 5th Contractor QC Training</w:t>
      </w:r>
    </w:p>
    <w:p w14:paraId="10CC10B2" w14:textId="77777777" w:rsidR="00212318" w:rsidRPr="00212318" w:rsidRDefault="00212318" w:rsidP="00212318">
      <w:pPr>
        <w:tabs>
          <w:tab w:val="left" w:pos="1080"/>
          <w:tab w:val="left" w:pos="1170"/>
        </w:tabs>
        <w:rPr>
          <w:rFonts w:asciiTheme="minorHAnsi" w:hAnsiTheme="minorHAnsi" w:cstheme="minorHAnsi"/>
        </w:rPr>
      </w:pPr>
    </w:p>
    <w:p w14:paraId="52A4D6AD" w14:textId="5389DC60" w:rsidR="0064693E" w:rsidRDefault="0083086A" w:rsidP="0094135C">
      <w:pPr>
        <w:pStyle w:val="ListParagraph"/>
        <w:numPr>
          <w:ilvl w:val="0"/>
          <w:numId w:val="9"/>
        </w:numPr>
        <w:rPr>
          <w:rFonts w:asciiTheme="minorHAnsi" w:hAnsiTheme="minorHAnsi" w:cstheme="minorHAnsi"/>
        </w:rPr>
      </w:pPr>
      <w:r w:rsidRPr="00061BA6">
        <w:rPr>
          <w:rFonts w:asciiTheme="minorHAnsi" w:hAnsiTheme="minorHAnsi" w:cstheme="minorHAnsi"/>
        </w:rPr>
        <w:t xml:space="preserve">Asphalt </w:t>
      </w:r>
      <w:r w:rsidR="0032257B">
        <w:rPr>
          <w:rFonts w:asciiTheme="minorHAnsi" w:hAnsiTheme="minorHAnsi" w:cstheme="minorHAnsi"/>
        </w:rPr>
        <w:t>Flushing/Bleeding Specification Changes</w:t>
      </w:r>
    </w:p>
    <w:p w14:paraId="0C031747" w14:textId="77777777" w:rsidR="006B7653" w:rsidRPr="006B7653" w:rsidRDefault="006B7653" w:rsidP="00C73713">
      <w:pPr>
        <w:pStyle w:val="NormalWeb"/>
        <w:ind w:left="720"/>
        <w:rPr>
          <w:color w:val="0070C0"/>
        </w:rPr>
      </w:pPr>
      <w:r w:rsidRPr="006B7653">
        <w:rPr>
          <w:color w:val="0070C0"/>
        </w:rPr>
        <w:t>MoDOT presented a proposed specification aimed at addressing flushing and bleeding on asphalt surfaces and asphalt maintenance treatments (see attached document). During the discussion, MAPA raised concerns regarding the subjectivity involved in determining when flushing or bleeding requires corrective action. Without a quantitative or definitive measure for acceptance or corrective action, MAPA members expressed concerns about potential liability.</w:t>
      </w:r>
    </w:p>
    <w:p w14:paraId="6DA0AB00" w14:textId="77777777" w:rsidR="006B7653" w:rsidRPr="006B7653" w:rsidRDefault="006B7653" w:rsidP="00C73713">
      <w:pPr>
        <w:pStyle w:val="NormalWeb"/>
        <w:ind w:left="720"/>
        <w:rPr>
          <w:color w:val="0070C0"/>
        </w:rPr>
      </w:pPr>
      <w:r w:rsidRPr="006B7653">
        <w:rPr>
          <w:color w:val="0070C0"/>
        </w:rPr>
        <w:t>Further discussions indicated that the flushing and bleeding issues appear to be localized to SMA (Stone Matrix Asphalt) mixes in Southeast Missouri. The current SMA specification requires a minimum of 6.0% asphalt. The group reached a consensus that the root cause of the issue lies in the characteristics of aggregates found in Southeast Missouri, particularly those from the Platin Formation. These aggregates are of higher quality with lower absorption compared to aggregates used in other parts of the state, contributing to the problem.</w:t>
      </w:r>
    </w:p>
    <w:p w14:paraId="47CCFF48" w14:textId="77777777" w:rsidR="006B7653" w:rsidRPr="006B7653" w:rsidRDefault="006B7653" w:rsidP="00C73713">
      <w:pPr>
        <w:pStyle w:val="NormalWeb"/>
        <w:ind w:left="720"/>
        <w:rPr>
          <w:color w:val="0070C0"/>
        </w:rPr>
      </w:pPr>
      <w:r w:rsidRPr="006B7653">
        <w:rPr>
          <w:color w:val="0070C0"/>
        </w:rPr>
        <w:t>The group agreed that the SMA specification should be revised to account for the unique properties of Southeast Missouri aggregates.</w:t>
      </w:r>
    </w:p>
    <w:p w14:paraId="1E6A56BC" w14:textId="77777777" w:rsidR="006B7653" w:rsidRPr="00C73713" w:rsidRDefault="006B7653" w:rsidP="00C73713">
      <w:pPr>
        <w:pStyle w:val="NormalWeb"/>
        <w:ind w:firstLine="720"/>
        <w:rPr>
          <w:color w:val="FF0000"/>
        </w:rPr>
      </w:pPr>
      <w:r w:rsidRPr="00C73713">
        <w:rPr>
          <w:rStyle w:val="Strong"/>
          <w:color w:val="FF0000"/>
        </w:rPr>
        <w:t>Action Items:</w:t>
      </w:r>
    </w:p>
    <w:p w14:paraId="54162EA4" w14:textId="77777777" w:rsidR="002B15BE" w:rsidRDefault="002B15BE" w:rsidP="002B15BE">
      <w:pPr>
        <w:numPr>
          <w:ilvl w:val="0"/>
          <w:numId w:val="18"/>
        </w:numPr>
        <w:spacing w:before="100" w:beforeAutospacing="1" w:after="100" w:afterAutospacing="1"/>
        <w:rPr>
          <w:color w:val="FF0000"/>
        </w:rPr>
      </w:pPr>
      <w:r>
        <w:rPr>
          <w:color w:val="FF0000"/>
        </w:rPr>
        <w:t>MoDOT to take another look at specification to address MoDOT’s intent while considering contractor liability.</w:t>
      </w:r>
    </w:p>
    <w:p w14:paraId="708E1B26" w14:textId="347831F2" w:rsidR="006B7653" w:rsidRPr="00C73713" w:rsidRDefault="006B7653" w:rsidP="006B7653">
      <w:pPr>
        <w:numPr>
          <w:ilvl w:val="0"/>
          <w:numId w:val="11"/>
        </w:numPr>
        <w:spacing w:before="100" w:beforeAutospacing="1" w:after="100" w:afterAutospacing="1"/>
        <w:rPr>
          <w:color w:val="FF0000"/>
        </w:rPr>
      </w:pPr>
      <w:r w:rsidRPr="00C73713">
        <w:rPr>
          <w:color w:val="FF0000"/>
        </w:rPr>
        <w:t>Revise the SMA specification for Southeast Missouri to address the higher quality aggregate issue.</w:t>
      </w:r>
    </w:p>
    <w:p w14:paraId="19244131" w14:textId="79E794FD" w:rsidR="00212318" w:rsidRPr="00C73713" w:rsidRDefault="006B7653" w:rsidP="00C73713">
      <w:pPr>
        <w:numPr>
          <w:ilvl w:val="0"/>
          <w:numId w:val="11"/>
        </w:numPr>
        <w:spacing w:before="100" w:beforeAutospacing="1" w:after="100" w:afterAutospacing="1"/>
        <w:rPr>
          <w:color w:val="FF0000"/>
        </w:rPr>
      </w:pPr>
      <w:r w:rsidRPr="00C73713">
        <w:rPr>
          <w:color w:val="FF0000"/>
        </w:rPr>
        <w:t>MAPA to provide alternative solutions to mitigate flushing and bleeding.</w:t>
      </w:r>
    </w:p>
    <w:p w14:paraId="258DBC83" w14:textId="77777777" w:rsidR="00AF1EDF" w:rsidRPr="00026B2C" w:rsidRDefault="00AF1EDF" w:rsidP="00AF1EDF">
      <w:pPr>
        <w:pStyle w:val="ListParagraph"/>
        <w:numPr>
          <w:ilvl w:val="0"/>
          <w:numId w:val="9"/>
        </w:numPr>
      </w:pPr>
      <w:r w:rsidRPr="00AF1EDF">
        <w:rPr>
          <w:rFonts w:ascii="Aptos" w:hAnsi="Aptos"/>
        </w:rPr>
        <w:t>Failing Binder Solutions</w:t>
      </w:r>
    </w:p>
    <w:p w14:paraId="62C6CF89" w14:textId="77777777" w:rsidR="00026B2C" w:rsidRDefault="00026B2C" w:rsidP="00026B2C"/>
    <w:p w14:paraId="65F544E6" w14:textId="71AB3E9C" w:rsidR="00026B2C" w:rsidRPr="00FE304D" w:rsidRDefault="007816BB" w:rsidP="00B76DA1">
      <w:pPr>
        <w:ind w:left="720"/>
        <w:rPr>
          <w:color w:val="0070C0"/>
        </w:rPr>
      </w:pPr>
      <w:r w:rsidRPr="00FE304D">
        <w:rPr>
          <w:color w:val="0070C0"/>
        </w:rPr>
        <w:lastRenderedPageBreak/>
        <w:t xml:space="preserve">MAPA presented a list of key recommendations to address the significant number of failing binder samples that were experienced during the 2024 construction season.  The </w:t>
      </w:r>
      <w:r w:rsidR="00EC799E" w:rsidRPr="00FE304D">
        <w:rPr>
          <w:color w:val="0070C0"/>
        </w:rPr>
        <w:t>recommendations are as follows:</w:t>
      </w:r>
    </w:p>
    <w:p w14:paraId="4D32F3F3" w14:textId="77777777" w:rsidR="0037054F" w:rsidRPr="00B62AEC" w:rsidRDefault="0037054F" w:rsidP="0037054F">
      <w:pPr>
        <w:spacing w:before="100" w:beforeAutospacing="1" w:after="100" w:afterAutospacing="1"/>
        <w:ind w:left="720"/>
        <w:rPr>
          <w:b/>
          <w:bCs/>
          <w:color w:val="0070C0"/>
        </w:rPr>
      </w:pPr>
      <w:r w:rsidRPr="00B62AEC">
        <w:rPr>
          <w:b/>
          <w:bCs/>
          <w:color w:val="0070C0"/>
        </w:rPr>
        <w:t>Timely Sampling and Testing:</w:t>
      </w:r>
    </w:p>
    <w:p w14:paraId="36C59E39" w14:textId="77777777" w:rsidR="0037054F" w:rsidRPr="00FE304D" w:rsidRDefault="0037054F" w:rsidP="0037054F">
      <w:pPr>
        <w:numPr>
          <w:ilvl w:val="1"/>
          <w:numId w:val="12"/>
        </w:numPr>
        <w:spacing w:before="100" w:beforeAutospacing="1" w:after="100" w:afterAutospacing="1"/>
        <w:rPr>
          <w:color w:val="0070C0"/>
        </w:rPr>
      </w:pPr>
      <w:r w:rsidRPr="00FE304D">
        <w:rPr>
          <w:color w:val="0070C0"/>
        </w:rPr>
        <w:t>Implement a 7-business-day turnaround for testing and reporting of field and terminal binder samples.</w:t>
      </w:r>
    </w:p>
    <w:p w14:paraId="5653CE97" w14:textId="77777777" w:rsidR="0037054F" w:rsidRPr="00FE304D" w:rsidRDefault="0037054F" w:rsidP="0037054F">
      <w:pPr>
        <w:numPr>
          <w:ilvl w:val="1"/>
          <w:numId w:val="12"/>
        </w:numPr>
        <w:spacing w:before="100" w:beforeAutospacing="1" w:after="100" w:afterAutospacing="1"/>
        <w:rPr>
          <w:color w:val="0070C0"/>
        </w:rPr>
      </w:pPr>
      <w:r w:rsidRPr="00FE304D">
        <w:rPr>
          <w:color w:val="0070C0"/>
        </w:rPr>
        <w:t>Collect and send the initial project binder sample to the Central Lab immediately after sampling.</w:t>
      </w:r>
    </w:p>
    <w:p w14:paraId="6829678C" w14:textId="77777777" w:rsidR="0037054F" w:rsidRPr="00FE304D" w:rsidRDefault="0037054F" w:rsidP="0037054F">
      <w:pPr>
        <w:numPr>
          <w:ilvl w:val="1"/>
          <w:numId w:val="12"/>
        </w:numPr>
        <w:spacing w:before="100" w:beforeAutospacing="1" w:after="100" w:afterAutospacing="1"/>
        <w:rPr>
          <w:color w:val="0070C0"/>
        </w:rPr>
      </w:pPr>
      <w:r w:rsidRPr="00FE304D">
        <w:rPr>
          <w:color w:val="0070C0"/>
        </w:rPr>
        <w:t>Update the Engineering Policy Guide (EPG) to:</w:t>
      </w:r>
    </w:p>
    <w:p w14:paraId="177646E5" w14:textId="77777777" w:rsidR="0037054F" w:rsidRPr="00FE304D" w:rsidRDefault="0037054F" w:rsidP="0037054F">
      <w:pPr>
        <w:numPr>
          <w:ilvl w:val="2"/>
          <w:numId w:val="12"/>
        </w:numPr>
        <w:spacing w:before="100" w:beforeAutospacing="1" w:after="100" w:afterAutospacing="1"/>
        <w:rPr>
          <w:color w:val="0070C0"/>
        </w:rPr>
      </w:pPr>
      <w:r w:rsidRPr="00FE304D">
        <w:rPr>
          <w:color w:val="0070C0"/>
        </w:rPr>
        <w:t>Reflect current sampling and testing practices.</w:t>
      </w:r>
    </w:p>
    <w:p w14:paraId="2F8A7B49" w14:textId="77777777" w:rsidR="0037054F" w:rsidRPr="00FE304D" w:rsidRDefault="0037054F" w:rsidP="0037054F">
      <w:pPr>
        <w:numPr>
          <w:ilvl w:val="2"/>
          <w:numId w:val="12"/>
        </w:numPr>
        <w:spacing w:before="100" w:beforeAutospacing="1" w:after="100" w:afterAutospacing="1"/>
        <w:rPr>
          <w:color w:val="0070C0"/>
        </w:rPr>
      </w:pPr>
      <w:r w:rsidRPr="00FE304D">
        <w:rPr>
          <w:color w:val="0070C0"/>
        </w:rPr>
        <w:t>Remove the requirement to wait for 10 samples before shipping.</w:t>
      </w:r>
    </w:p>
    <w:p w14:paraId="6EA86CEB" w14:textId="77777777" w:rsidR="0037054F" w:rsidRPr="00FE304D" w:rsidRDefault="0037054F" w:rsidP="0037054F">
      <w:pPr>
        <w:numPr>
          <w:ilvl w:val="1"/>
          <w:numId w:val="12"/>
        </w:numPr>
        <w:spacing w:before="100" w:beforeAutospacing="1" w:after="100" w:afterAutospacing="1"/>
        <w:rPr>
          <w:color w:val="0070C0"/>
        </w:rPr>
      </w:pPr>
      <w:r w:rsidRPr="00FE304D">
        <w:rPr>
          <w:color w:val="0070C0"/>
        </w:rPr>
        <w:t>Develop and implement protocols for truck blending sample approval.</w:t>
      </w:r>
    </w:p>
    <w:p w14:paraId="4E676590" w14:textId="77777777" w:rsidR="0037054F" w:rsidRPr="00FE304D" w:rsidRDefault="0037054F" w:rsidP="0037054F">
      <w:pPr>
        <w:numPr>
          <w:ilvl w:val="1"/>
          <w:numId w:val="12"/>
        </w:numPr>
        <w:spacing w:before="100" w:beforeAutospacing="1" w:after="100" w:afterAutospacing="1"/>
        <w:rPr>
          <w:color w:val="0070C0"/>
        </w:rPr>
      </w:pPr>
      <w:r w:rsidRPr="00FE304D">
        <w:rPr>
          <w:color w:val="0070C0"/>
        </w:rPr>
        <w:t>Require MoDOT inspectors to witness or collect terminal samples.</w:t>
      </w:r>
    </w:p>
    <w:p w14:paraId="6FB01841" w14:textId="77777777" w:rsidR="0037054F" w:rsidRPr="00B62AEC" w:rsidRDefault="0037054F" w:rsidP="0037054F">
      <w:pPr>
        <w:spacing w:before="100" w:beforeAutospacing="1" w:after="100" w:afterAutospacing="1"/>
        <w:ind w:left="720"/>
        <w:rPr>
          <w:b/>
          <w:bCs/>
          <w:color w:val="0070C0"/>
        </w:rPr>
      </w:pPr>
      <w:r w:rsidRPr="00B62AEC">
        <w:rPr>
          <w:b/>
          <w:bCs/>
          <w:color w:val="0070C0"/>
        </w:rPr>
        <w:t>Recycled Engine Oil Bottoms (REOB) and Vacuum Tower Asphalt Extenders (VTAE):</w:t>
      </w:r>
    </w:p>
    <w:p w14:paraId="519F78BD" w14:textId="77777777" w:rsidR="0037054F" w:rsidRPr="00FE304D" w:rsidRDefault="0037054F" w:rsidP="0037054F">
      <w:pPr>
        <w:numPr>
          <w:ilvl w:val="1"/>
          <w:numId w:val="12"/>
        </w:numPr>
        <w:spacing w:before="100" w:beforeAutospacing="1" w:after="100" w:afterAutospacing="1"/>
        <w:rPr>
          <w:color w:val="0070C0"/>
        </w:rPr>
      </w:pPr>
      <w:r w:rsidRPr="00FE304D">
        <w:rPr>
          <w:color w:val="0070C0"/>
        </w:rPr>
        <w:t>Ban the use of REOB and VTAE to improve mixture quality and performance, aligning with neighboring states and FHWA recommendations.</w:t>
      </w:r>
    </w:p>
    <w:p w14:paraId="6DE7BFB4" w14:textId="77777777" w:rsidR="0037054F" w:rsidRPr="00B62AEC" w:rsidRDefault="0037054F" w:rsidP="0037054F">
      <w:pPr>
        <w:spacing w:before="100" w:beforeAutospacing="1" w:after="100" w:afterAutospacing="1"/>
        <w:ind w:left="720"/>
        <w:rPr>
          <w:b/>
          <w:bCs/>
          <w:color w:val="0070C0"/>
        </w:rPr>
      </w:pPr>
      <w:r w:rsidRPr="00B62AEC">
        <w:rPr>
          <w:b/>
          <w:bCs/>
          <w:color w:val="0070C0"/>
        </w:rPr>
        <w:t>Poly Phosphoric Acid (PPA):</w:t>
      </w:r>
    </w:p>
    <w:p w14:paraId="6E506263" w14:textId="622E9925" w:rsidR="004D4DF0" w:rsidRPr="00FE304D" w:rsidRDefault="0037054F" w:rsidP="00786B98">
      <w:pPr>
        <w:numPr>
          <w:ilvl w:val="1"/>
          <w:numId w:val="12"/>
        </w:numPr>
        <w:spacing w:before="100" w:beforeAutospacing="1" w:after="100" w:afterAutospacing="1"/>
        <w:rPr>
          <w:color w:val="0070C0"/>
        </w:rPr>
      </w:pPr>
      <w:r w:rsidRPr="00FE304D">
        <w:rPr>
          <w:color w:val="0070C0"/>
        </w:rPr>
        <w:t>Maintain current practices for PPA use but require binder suppliers to disclose its usage to account for potential chemical interactions with amine-based anti-strip additives.</w:t>
      </w:r>
    </w:p>
    <w:p w14:paraId="3D3AEF98" w14:textId="77777777" w:rsidR="0055732E" w:rsidRPr="004F281E" w:rsidRDefault="0055732E" w:rsidP="004F281E">
      <w:pPr>
        <w:pStyle w:val="NormalWeb"/>
        <w:ind w:left="720"/>
        <w:rPr>
          <w:color w:val="0070C0"/>
        </w:rPr>
      </w:pPr>
      <w:r w:rsidRPr="004F281E">
        <w:rPr>
          <w:color w:val="0070C0"/>
        </w:rPr>
        <w:t>MoDOT identified that delays in testing were primarily caused by binder samples not being sent to the Central Laboratory promptly. To address this, they plan to review shipping and turnaround times for liquid asphalt samples and develop a new process before the 2025 construction season. MoDOT also agreed to move forward with banning REOB and VTAE and will work on developing a specification with a target implementation date of July 1, 2025. However, MAPA raised concerns about the ban's delayed effect on the 2025 construction season and proposed working with liquid asphalt suppliers to explore immediate implementation without financial impacts on awarded projects.</w:t>
      </w:r>
    </w:p>
    <w:p w14:paraId="19067E67" w14:textId="15C9D68E" w:rsidR="0055732E" w:rsidRPr="004F281E" w:rsidRDefault="0055732E" w:rsidP="004F281E">
      <w:pPr>
        <w:pStyle w:val="Heading3"/>
        <w:ind w:left="720"/>
        <w:rPr>
          <w:color w:val="FF0000"/>
        </w:rPr>
      </w:pPr>
      <w:r w:rsidRPr="004F281E">
        <w:rPr>
          <w:rStyle w:val="Strong"/>
          <w:color w:val="FF0000"/>
        </w:rPr>
        <w:t>Action Items</w:t>
      </w:r>
      <w:r w:rsidR="004F281E">
        <w:rPr>
          <w:rStyle w:val="Strong"/>
          <w:color w:val="FF0000"/>
        </w:rPr>
        <w:t>:</w:t>
      </w:r>
    </w:p>
    <w:p w14:paraId="292BE347" w14:textId="7B876F68" w:rsidR="0055732E" w:rsidRPr="004F281E" w:rsidRDefault="0055732E" w:rsidP="004F281E">
      <w:pPr>
        <w:numPr>
          <w:ilvl w:val="0"/>
          <w:numId w:val="14"/>
        </w:numPr>
        <w:tabs>
          <w:tab w:val="clear" w:pos="720"/>
          <w:tab w:val="num" w:pos="1440"/>
        </w:tabs>
        <w:spacing w:before="100" w:beforeAutospacing="1" w:after="100" w:afterAutospacing="1"/>
        <w:ind w:left="1440"/>
        <w:rPr>
          <w:color w:val="FF0000"/>
        </w:rPr>
      </w:pPr>
      <w:r w:rsidRPr="004F281E">
        <w:rPr>
          <w:color w:val="FF0000"/>
        </w:rPr>
        <w:t>MoDOT to review and address the turnaround time for sampling, shipping, and testing to establish a new process before the 2025 construction season.</w:t>
      </w:r>
    </w:p>
    <w:p w14:paraId="13BAD491" w14:textId="77777777" w:rsidR="0055732E" w:rsidRPr="004F281E" w:rsidRDefault="0055732E" w:rsidP="004F281E">
      <w:pPr>
        <w:numPr>
          <w:ilvl w:val="0"/>
          <w:numId w:val="14"/>
        </w:numPr>
        <w:tabs>
          <w:tab w:val="clear" w:pos="720"/>
          <w:tab w:val="num" w:pos="1440"/>
        </w:tabs>
        <w:spacing w:before="100" w:beforeAutospacing="1" w:after="100" w:afterAutospacing="1"/>
        <w:ind w:left="1440"/>
        <w:rPr>
          <w:color w:val="FF0000"/>
        </w:rPr>
      </w:pPr>
      <w:r w:rsidRPr="004F281E">
        <w:rPr>
          <w:color w:val="FF0000"/>
        </w:rPr>
        <w:t>MoDOT to develop specification language for banning REOB and VTAE.</w:t>
      </w:r>
    </w:p>
    <w:p w14:paraId="396AA54A" w14:textId="77777777" w:rsidR="003351FE" w:rsidRDefault="0055732E" w:rsidP="003351FE">
      <w:pPr>
        <w:numPr>
          <w:ilvl w:val="0"/>
          <w:numId w:val="14"/>
        </w:numPr>
        <w:tabs>
          <w:tab w:val="clear" w:pos="720"/>
          <w:tab w:val="num" w:pos="1440"/>
        </w:tabs>
        <w:spacing w:before="100" w:beforeAutospacing="1" w:after="100" w:afterAutospacing="1"/>
        <w:ind w:left="1440"/>
        <w:rPr>
          <w:color w:val="FF0000"/>
        </w:rPr>
      </w:pPr>
      <w:r w:rsidRPr="004F281E">
        <w:rPr>
          <w:color w:val="FF0000"/>
        </w:rPr>
        <w:lastRenderedPageBreak/>
        <w:t>MAPA to provide MoDOT with the Asphalt Institute (AI) summary document detailing how surrounding states address REOB and VTAE.</w:t>
      </w:r>
    </w:p>
    <w:p w14:paraId="6F5B14D4" w14:textId="758D7B75" w:rsidR="00B0350A" w:rsidRPr="00B0350A" w:rsidRDefault="0022692A" w:rsidP="00F337B7">
      <w:pPr>
        <w:ind w:left="1080"/>
        <w:rPr>
          <w:rFonts w:ascii="Aptos" w:eastAsia="Aptos" w:hAnsi="Aptos" w:cs="Aptos"/>
          <w:sz w:val="22"/>
          <w:szCs w:val="22"/>
          <w14:ligatures w14:val="standardContextual"/>
        </w:rPr>
      </w:pPr>
      <w:r w:rsidRPr="00DE2ABE">
        <w:rPr>
          <w:b/>
          <w:bCs/>
          <w:color w:val="0070C0"/>
        </w:rPr>
        <w:t>Update:</w:t>
      </w:r>
      <w:r w:rsidRPr="00DE2ABE">
        <w:rPr>
          <w:color w:val="0070C0"/>
        </w:rPr>
        <w:t xml:space="preserve">  The following is a </w:t>
      </w:r>
      <w:r w:rsidR="00E565A4" w:rsidRPr="00DE2ABE">
        <w:rPr>
          <w:color w:val="0070C0"/>
        </w:rPr>
        <w:t>link to AI’s State Binder Specifications:</w:t>
      </w:r>
      <w:r w:rsidR="00B0350A" w:rsidRPr="00DE2ABE">
        <w:rPr>
          <w:color w:val="0070C0"/>
        </w:rPr>
        <w:t xml:space="preserve">  </w:t>
      </w:r>
      <w:hyperlink r:id="rId10" w:history="1">
        <w:r w:rsidR="00B0350A" w:rsidRPr="00DE2ABE">
          <w:rPr>
            <w:rFonts w:ascii="Aptos" w:eastAsia="Aptos" w:hAnsi="Aptos" w:cs="Aptos"/>
            <w:color w:val="0070C0"/>
            <w:sz w:val="22"/>
            <w:szCs w:val="22"/>
            <w:u w:val="single"/>
            <w14:ligatures w14:val="standardContextual"/>
          </w:rPr>
          <w:t>US State Binder Specifications - Asphalt Institute</w:t>
        </w:r>
      </w:hyperlink>
      <w:r w:rsidR="00B0350A" w:rsidRPr="00DE2ABE">
        <w:rPr>
          <w:rFonts w:ascii="Aptos" w:eastAsia="Aptos" w:hAnsi="Aptos" w:cs="Aptos"/>
          <w:color w:val="0070C0"/>
          <w:sz w:val="22"/>
          <w:szCs w:val="22"/>
          <w14:ligatures w14:val="standardContextual"/>
        </w:rPr>
        <w:t xml:space="preserve">.  Also attached is </w:t>
      </w:r>
      <w:r w:rsidR="00DE2ABE" w:rsidRPr="00DE2ABE">
        <w:rPr>
          <w:rFonts w:ascii="Aptos" w:eastAsia="Aptos" w:hAnsi="Aptos" w:cs="Aptos"/>
          <w:color w:val="0070C0"/>
          <w:sz w:val="22"/>
          <w:szCs w:val="22"/>
          <w14:ligatures w14:val="standardContextual"/>
        </w:rPr>
        <w:t>an excel</w:t>
      </w:r>
      <w:r w:rsidR="00B0350A" w:rsidRPr="00DE2ABE">
        <w:rPr>
          <w:rFonts w:ascii="Aptos" w:eastAsia="Aptos" w:hAnsi="Aptos" w:cs="Aptos"/>
          <w:color w:val="0070C0"/>
          <w:sz w:val="22"/>
          <w:szCs w:val="22"/>
          <w14:ligatures w14:val="standardContextual"/>
        </w:rPr>
        <w:t xml:space="preserve"> document which summarizes </w:t>
      </w:r>
      <w:r w:rsidR="00F337B7" w:rsidRPr="00DE2ABE">
        <w:rPr>
          <w:rFonts w:ascii="Aptos" w:eastAsia="Aptos" w:hAnsi="Aptos" w:cs="Aptos"/>
          <w:color w:val="0070C0"/>
          <w:sz w:val="22"/>
          <w:szCs w:val="22"/>
          <w14:ligatures w14:val="standardContextual"/>
        </w:rPr>
        <w:t xml:space="preserve">each </w:t>
      </w:r>
      <w:proofErr w:type="gramStart"/>
      <w:r w:rsidR="00F337B7" w:rsidRPr="00DE2ABE">
        <w:rPr>
          <w:rFonts w:ascii="Aptos" w:eastAsia="Aptos" w:hAnsi="Aptos" w:cs="Aptos"/>
          <w:color w:val="0070C0"/>
          <w:sz w:val="22"/>
          <w:szCs w:val="22"/>
          <w14:ligatures w14:val="standardContextual"/>
        </w:rPr>
        <w:t>states</w:t>
      </w:r>
      <w:proofErr w:type="gramEnd"/>
      <w:r w:rsidR="00F337B7" w:rsidRPr="00DE2ABE">
        <w:rPr>
          <w:rFonts w:ascii="Aptos" w:eastAsia="Aptos" w:hAnsi="Aptos" w:cs="Aptos"/>
          <w:color w:val="0070C0"/>
          <w:sz w:val="22"/>
          <w:szCs w:val="22"/>
          <w14:ligatures w14:val="standardContextual"/>
        </w:rPr>
        <w:t xml:space="preserve"> </w:t>
      </w:r>
      <w:proofErr w:type="gramStart"/>
      <w:r w:rsidR="00F337B7" w:rsidRPr="00DE2ABE">
        <w:rPr>
          <w:rFonts w:ascii="Aptos" w:eastAsia="Aptos" w:hAnsi="Aptos" w:cs="Aptos"/>
          <w:color w:val="0070C0"/>
          <w:sz w:val="22"/>
          <w:szCs w:val="22"/>
          <w14:ligatures w14:val="standardContextual"/>
        </w:rPr>
        <w:t>specifications</w:t>
      </w:r>
      <w:proofErr w:type="gramEnd"/>
      <w:r w:rsidR="00F337B7" w:rsidRPr="00DE2ABE">
        <w:rPr>
          <w:rFonts w:ascii="Aptos" w:eastAsia="Aptos" w:hAnsi="Aptos" w:cs="Aptos"/>
          <w:color w:val="0070C0"/>
          <w:sz w:val="22"/>
          <w:szCs w:val="22"/>
          <w14:ligatures w14:val="standardContextual"/>
        </w:rPr>
        <w:t>.</w:t>
      </w:r>
    </w:p>
    <w:p w14:paraId="48173E5E" w14:textId="143AEE3F" w:rsidR="0022692A" w:rsidRDefault="00E565A4" w:rsidP="0022692A">
      <w:pPr>
        <w:spacing w:before="100" w:beforeAutospacing="1" w:after="100" w:afterAutospacing="1"/>
        <w:ind w:left="1080"/>
        <w:rPr>
          <w:color w:val="FF0000"/>
        </w:rPr>
      </w:pPr>
      <w:r>
        <w:rPr>
          <w:color w:val="FF0000"/>
        </w:rPr>
        <w:t xml:space="preserve">  </w:t>
      </w:r>
    </w:p>
    <w:p w14:paraId="2B5F30DE" w14:textId="35452A0B" w:rsidR="0055732E" w:rsidRPr="003351FE" w:rsidRDefault="0055732E" w:rsidP="003351FE">
      <w:pPr>
        <w:numPr>
          <w:ilvl w:val="0"/>
          <w:numId w:val="14"/>
        </w:numPr>
        <w:tabs>
          <w:tab w:val="clear" w:pos="720"/>
          <w:tab w:val="num" w:pos="1440"/>
        </w:tabs>
        <w:spacing w:before="100" w:beforeAutospacing="1" w:after="100" w:afterAutospacing="1"/>
        <w:ind w:left="1440"/>
        <w:rPr>
          <w:color w:val="FF0000"/>
        </w:rPr>
      </w:pPr>
      <w:r w:rsidRPr="003351FE">
        <w:rPr>
          <w:color w:val="FF0000"/>
        </w:rPr>
        <w:t>MAPA to survey liquid asphalt suppliers to assess the feasibility of implementing the REOB and VTAE ban immediately for ongoing projects</w:t>
      </w:r>
      <w:r>
        <w:t>.</w:t>
      </w:r>
    </w:p>
    <w:p w14:paraId="1E0FB129" w14:textId="77777777" w:rsidR="00212318" w:rsidRPr="00CA558B" w:rsidRDefault="00212318" w:rsidP="00212318">
      <w:pPr>
        <w:pStyle w:val="ListParagraph"/>
        <w:numPr>
          <w:ilvl w:val="0"/>
          <w:numId w:val="9"/>
        </w:numPr>
        <w:tabs>
          <w:tab w:val="left" w:pos="1080"/>
          <w:tab w:val="left" w:pos="1170"/>
        </w:tabs>
        <w:rPr>
          <w:rFonts w:asciiTheme="minorHAnsi" w:hAnsiTheme="minorHAnsi" w:cstheme="minorHAnsi"/>
        </w:rPr>
      </w:pPr>
      <w:r>
        <w:t>The spec book in 403.13 still has improper lift thicknesses.  1.25 for SP095, 1.75 for SP125.   The EPG has been updated in 450.13 to reflect 1.5 SP095 and 2” SP125.</w:t>
      </w:r>
    </w:p>
    <w:p w14:paraId="6155B309" w14:textId="77777777" w:rsidR="00CA558B" w:rsidRDefault="00CA558B" w:rsidP="00CA558B">
      <w:pPr>
        <w:tabs>
          <w:tab w:val="left" w:pos="1080"/>
          <w:tab w:val="left" w:pos="1170"/>
        </w:tabs>
        <w:rPr>
          <w:rFonts w:asciiTheme="minorHAnsi" w:hAnsiTheme="minorHAnsi" w:cstheme="minorHAnsi"/>
        </w:rPr>
      </w:pPr>
    </w:p>
    <w:p w14:paraId="2041BC7D" w14:textId="77777777" w:rsidR="009A107B" w:rsidRPr="009A107B" w:rsidRDefault="009A107B" w:rsidP="00391A47">
      <w:pPr>
        <w:ind w:left="720"/>
        <w:rPr>
          <w:rFonts w:asciiTheme="minorHAnsi" w:hAnsiTheme="minorHAnsi" w:cstheme="minorHAnsi"/>
          <w:color w:val="0070C0"/>
        </w:rPr>
      </w:pPr>
      <w:r w:rsidRPr="009A107B">
        <w:rPr>
          <w:rFonts w:asciiTheme="minorHAnsi" w:hAnsiTheme="minorHAnsi" w:cstheme="minorHAnsi"/>
          <w:color w:val="0070C0"/>
        </w:rPr>
        <w:t>MoDOT acknowledged that the language in Section 403 is inconsistent with the minimum thickness requirements outlined in the Engineering Policy Guide (EPG). They clarified that minimum thickness requirements should not apply when the mix is used as a leveling course.</w:t>
      </w:r>
    </w:p>
    <w:p w14:paraId="14E8DAA9" w14:textId="77777777" w:rsidR="009A107B" w:rsidRPr="009A107B" w:rsidRDefault="009A107B" w:rsidP="009A107B">
      <w:pPr>
        <w:ind w:left="360"/>
        <w:rPr>
          <w:rFonts w:asciiTheme="minorHAnsi" w:hAnsiTheme="minorHAnsi" w:cstheme="minorHAnsi"/>
          <w:color w:val="0070C0"/>
        </w:rPr>
      </w:pPr>
    </w:p>
    <w:p w14:paraId="4419314D" w14:textId="77777777" w:rsidR="009A107B" w:rsidRPr="00B504FF" w:rsidRDefault="009A107B" w:rsidP="009A107B">
      <w:pPr>
        <w:ind w:left="360"/>
        <w:rPr>
          <w:rFonts w:asciiTheme="minorHAnsi" w:hAnsiTheme="minorHAnsi" w:cstheme="minorHAnsi"/>
          <w:b/>
          <w:bCs/>
          <w:color w:val="FF0000"/>
        </w:rPr>
      </w:pPr>
      <w:r w:rsidRPr="00B504FF">
        <w:rPr>
          <w:rFonts w:asciiTheme="minorHAnsi" w:hAnsiTheme="minorHAnsi" w:cstheme="minorHAnsi"/>
          <w:b/>
          <w:bCs/>
          <w:color w:val="FF0000"/>
        </w:rPr>
        <w:t>Action Item:</w:t>
      </w:r>
    </w:p>
    <w:p w14:paraId="4E40B8F7" w14:textId="77777777" w:rsidR="00B504FF" w:rsidRPr="00B504FF" w:rsidRDefault="00B504FF" w:rsidP="009A107B">
      <w:pPr>
        <w:ind w:left="360"/>
        <w:rPr>
          <w:rFonts w:asciiTheme="minorHAnsi" w:hAnsiTheme="minorHAnsi" w:cstheme="minorHAnsi"/>
          <w:b/>
          <w:bCs/>
          <w:color w:val="FF0000"/>
        </w:rPr>
      </w:pPr>
    </w:p>
    <w:p w14:paraId="259490AD" w14:textId="158541C0" w:rsidR="00033EFE" w:rsidRDefault="009A107B" w:rsidP="009A107B">
      <w:pPr>
        <w:ind w:left="360"/>
        <w:rPr>
          <w:rFonts w:asciiTheme="minorHAnsi" w:hAnsiTheme="minorHAnsi" w:cstheme="minorHAnsi"/>
          <w:color w:val="FF0000"/>
        </w:rPr>
      </w:pPr>
      <w:r w:rsidRPr="00B504FF">
        <w:rPr>
          <w:rFonts w:asciiTheme="minorHAnsi" w:hAnsiTheme="minorHAnsi" w:cstheme="minorHAnsi"/>
          <w:color w:val="FF0000"/>
        </w:rPr>
        <w:t>MoDOT will revise Section 403.13 to align with the minimum lift thickness requirements in the EPG while allowing an exception for mixtures used as a leveling course.</w:t>
      </w:r>
    </w:p>
    <w:p w14:paraId="7E7A91FD" w14:textId="77777777" w:rsidR="00B504FF" w:rsidRPr="00B504FF" w:rsidRDefault="00B504FF" w:rsidP="009A107B">
      <w:pPr>
        <w:ind w:left="360"/>
        <w:rPr>
          <w:rFonts w:asciiTheme="minorHAnsi" w:hAnsiTheme="minorHAnsi" w:cstheme="minorHAnsi"/>
          <w:color w:val="FF0000"/>
        </w:rPr>
      </w:pPr>
    </w:p>
    <w:p w14:paraId="170BEC66" w14:textId="6A1DAF4B" w:rsidR="00CA5F65" w:rsidRDefault="00935CF6" w:rsidP="009E46F2">
      <w:pPr>
        <w:pStyle w:val="ListParagraph"/>
        <w:numPr>
          <w:ilvl w:val="0"/>
          <w:numId w:val="9"/>
        </w:numPr>
        <w:rPr>
          <w:rFonts w:asciiTheme="minorHAnsi" w:hAnsiTheme="minorHAnsi" w:cstheme="minorHAnsi"/>
        </w:rPr>
      </w:pPr>
      <w:r>
        <w:rPr>
          <w:rFonts w:asciiTheme="minorHAnsi" w:hAnsiTheme="minorHAnsi" w:cstheme="minorHAnsi"/>
        </w:rPr>
        <w:t>R</w:t>
      </w:r>
      <w:r w:rsidR="00741CCF">
        <w:rPr>
          <w:rFonts w:asciiTheme="minorHAnsi" w:hAnsiTheme="minorHAnsi" w:cstheme="minorHAnsi"/>
        </w:rPr>
        <w:t>emote Truck Sampling Device Pilot Projects</w:t>
      </w:r>
    </w:p>
    <w:p w14:paraId="55E0756E" w14:textId="77777777" w:rsidR="008D311A" w:rsidRPr="00391A47" w:rsidRDefault="008D311A" w:rsidP="00391A47">
      <w:pPr>
        <w:pStyle w:val="NormalWeb"/>
        <w:ind w:left="720"/>
        <w:rPr>
          <w:color w:val="0070C0"/>
        </w:rPr>
      </w:pPr>
      <w:r w:rsidRPr="00391A47">
        <w:rPr>
          <w:color w:val="0070C0"/>
        </w:rPr>
        <w:t>MoDOT has purchased two Remote Truck Sampling Devices (RTSD) that will be required for use on Balanced Mix Design (BMD) projects. These devices will be implemented on the following projects:</w:t>
      </w:r>
    </w:p>
    <w:p w14:paraId="1F05CDD0" w14:textId="77777777" w:rsidR="008D311A" w:rsidRPr="00391A47" w:rsidRDefault="008D311A" w:rsidP="00391A47">
      <w:pPr>
        <w:numPr>
          <w:ilvl w:val="0"/>
          <w:numId w:val="15"/>
        </w:numPr>
        <w:tabs>
          <w:tab w:val="clear" w:pos="720"/>
          <w:tab w:val="num" w:pos="1440"/>
        </w:tabs>
        <w:spacing w:before="100" w:beforeAutospacing="1" w:after="100" w:afterAutospacing="1"/>
        <w:ind w:left="1440"/>
        <w:rPr>
          <w:color w:val="0070C0"/>
        </w:rPr>
      </w:pPr>
      <w:r w:rsidRPr="00FE304D">
        <w:rPr>
          <w:rStyle w:val="Strong"/>
          <w:b w:val="0"/>
          <w:bCs w:val="0"/>
          <w:color w:val="0070C0"/>
        </w:rPr>
        <w:t>Job Number JSL0073</w:t>
      </w:r>
      <w:r w:rsidRPr="00391A47">
        <w:rPr>
          <w:color w:val="0070C0"/>
        </w:rPr>
        <w:t xml:space="preserve"> (Route 100, St. Louis City) – Letting Date: May 16, 2025.</w:t>
      </w:r>
    </w:p>
    <w:p w14:paraId="3CB557AA" w14:textId="77777777" w:rsidR="008D311A" w:rsidRPr="00391A47" w:rsidRDefault="008D311A" w:rsidP="00391A47">
      <w:pPr>
        <w:numPr>
          <w:ilvl w:val="0"/>
          <w:numId w:val="15"/>
        </w:numPr>
        <w:tabs>
          <w:tab w:val="clear" w:pos="720"/>
          <w:tab w:val="num" w:pos="1440"/>
        </w:tabs>
        <w:spacing w:before="100" w:beforeAutospacing="1" w:after="100" w:afterAutospacing="1"/>
        <w:ind w:left="1440"/>
        <w:rPr>
          <w:color w:val="0070C0"/>
        </w:rPr>
      </w:pPr>
      <w:r w:rsidRPr="00FE304D">
        <w:rPr>
          <w:rStyle w:val="Strong"/>
          <w:b w:val="0"/>
          <w:bCs w:val="0"/>
          <w:color w:val="0070C0"/>
        </w:rPr>
        <w:t>Job Number JKU0017</w:t>
      </w:r>
      <w:r w:rsidRPr="00391A47">
        <w:rPr>
          <w:color w:val="0070C0"/>
        </w:rPr>
        <w:t xml:space="preserve"> (Route I-29, Platte County) – Letting Date: June 20, 2025.</w:t>
      </w:r>
    </w:p>
    <w:p w14:paraId="13F0E9F4" w14:textId="77777777" w:rsidR="008D311A" w:rsidRPr="00391A47" w:rsidRDefault="008D311A" w:rsidP="00391A47">
      <w:pPr>
        <w:pStyle w:val="NormalWeb"/>
        <w:ind w:left="720"/>
        <w:rPr>
          <w:color w:val="0070C0"/>
        </w:rPr>
      </w:pPr>
      <w:r w:rsidRPr="00391A47">
        <w:rPr>
          <w:color w:val="0070C0"/>
        </w:rPr>
        <w:t>The RTSD, furnished by the Commission, will be retained by the contractor upon project completion. Contractors will be responsible for the pickup and setup of the RTSD. The requirements for RTSD usage are outlined in the attached JSP.</w:t>
      </w:r>
    </w:p>
    <w:p w14:paraId="1C4BFD46" w14:textId="72E9D26E" w:rsidR="008D311A" w:rsidRPr="00391A47" w:rsidRDefault="008D311A" w:rsidP="00391A47">
      <w:pPr>
        <w:pStyle w:val="NormalWeb"/>
        <w:ind w:left="720"/>
        <w:rPr>
          <w:color w:val="0070C0"/>
        </w:rPr>
      </w:pPr>
      <w:r w:rsidRPr="00391A47">
        <w:rPr>
          <w:color w:val="0070C0"/>
        </w:rPr>
        <w:t xml:space="preserve">The group discussed potential challenges with RTSD implementation, particularly for contractors using portable plants. Concerns were raised about the logistics of installing the device </w:t>
      </w:r>
      <w:proofErr w:type="gramStart"/>
      <w:r w:rsidRPr="00391A47">
        <w:rPr>
          <w:color w:val="0070C0"/>
        </w:rPr>
        <w:t>at</w:t>
      </w:r>
      <w:proofErr w:type="gramEnd"/>
      <w:r w:rsidRPr="00391A47">
        <w:rPr>
          <w:color w:val="0070C0"/>
        </w:rPr>
        <w:t xml:space="preserve"> temporary facilities and its impact on future projects. </w:t>
      </w:r>
      <w:r w:rsidRPr="00391A47">
        <w:rPr>
          <w:color w:val="0070C0"/>
        </w:rPr>
        <w:lastRenderedPageBreak/>
        <w:t>MoDOT expressed a preference for deploying RTSDs at permanent plants but acknowledged the constraints of the low-bid process in determining whether the device would be installed at permanent or portable locations.</w:t>
      </w:r>
    </w:p>
    <w:p w14:paraId="2A4032C9" w14:textId="77777777" w:rsidR="008D311A" w:rsidRPr="00391A47" w:rsidRDefault="008D311A" w:rsidP="00391A47">
      <w:pPr>
        <w:pStyle w:val="NormalWeb"/>
        <w:ind w:left="720"/>
        <w:rPr>
          <w:color w:val="0070C0"/>
        </w:rPr>
      </w:pPr>
      <w:r w:rsidRPr="00391A47">
        <w:rPr>
          <w:color w:val="0070C0"/>
        </w:rPr>
        <w:t>Additional questions were raised regarding product support and warranty coverage, given that the equipment is transferred to the contractor at project completion. MoDOT agreed to follow up with the manufacturer to gather information on warranty terms, product support availability, and shipping requirements for the RTSD.</w:t>
      </w:r>
    </w:p>
    <w:p w14:paraId="7BE90003" w14:textId="77777777" w:rsidR="008D311A" w:rsidRPr="00391A47" w:rsidRDefault="008D311A" w:rsidP="00391A47">
      <w:pPr>
        <w:pStyle w:val="NormalWeb"/>
        <w:ind w:left="720"/>
        <w:rPr>
          <w:color w:val="FF0000"/>
        </w:rPr>
      </w:pPr>
      <w:r w:rsidRPr="00391A47">
        <w:rPr>
          <w:rStyle w:val="Strong"/>
          <w:color w:val="FF0000"/>
        </w:rPr>
        <w:t>Action Items:</w:t>
      </w:r>
    </w:p>
    <w:p w14:paraId="34B27FBB" w14:textId="0F3ABD06" w:rsidR="008D311A" w:rsidRPr="00391A47" w:rsidRDefault="008D311A" w:rsidP="00391A47">
      <w:pPr>
        <w:numPr>
          <w:ilvl w:val="0"/>
          <w:numId w:val="16"/>
        </w:numPr>
        <w:tabs>
          <w:tab w:val="clear" w:pos="720"/>
          <w:tab w:val="num" w:pos="1440"/>
        </w:tabs>
        <w:spacing w:before="100" w:beforeAutospacing="1" w:after="100" w:afterAutospacing="1"/>
        <w:ind w:left="1440"/>
        <w:rPr>
          <w:color w:val="FF0000"/>
        </w:rPr>
      </w:pPr>
      <w:r w:rsidRPr="00391A47">
        <w:rPr>
          <w:color w:val="FF0000"/>
        </w:rPr>
        <w:t>MoDOT will obtain detailed information from the RTSD manufacturer regarding warranty coverage and product support options for contractors after equipment transfer.</w:t>
      </w:r>
    </w:p>
    <w:p w14:paraId="3EDB0086" w14:textId="4D118F0F" w:rsidR="008D311A" w:rsidRPr="00391A47" w:rsidRDefault="008D311A" w:rsidP="00391A47">
      <w:pPr>
        <w:numPr>
          <w:ilvl w:val="0"/>
          <w:numId w:val="16"/>
        </w:numPr>
        <w:tabs>
          <w:tab w:val="clear" w:pos="720"/>
          <w:tab w:val="num" w:pos="1440"/>
        </w:tabs>
        <w:spacing w:before="100" w:beforeAutospacing="1" w:after="100" w:afterAutospacing="1"/>
        <w:ind w:left="1440"/>
        <w:rPr>
          <w:color w:val="FF0000"/>
        </w:rPr>
      </w:pPr>
      <w:r w:rsidRPr="00391A47">
        <w:rPr>
          <w:color w:val="FF0000"/>
        </w:rPr>
        <w:t>MoDOT will provide contractors with specific requirements and guidelines for shipping.</w:t>
      </w:r>
    </w:p>
    <w:p w14:paraId="6CE3A082" w14:textId="77777777" w:rsidR="00AF1EDF" w:rsidRDefault="00CA5F65" w:rsidP="00F75DAF">
      <w:pPr>
        <w:pStyle w:val="ListParagraph"/>
        <w:numPr>
          <w:ilvl w:val="0"/>
          <w:numId w:val="9"/>
        </w:numPr>
        <w:rPr>
          <w:rFonts w:asciiTheme="minorHAnsi" w:hAnsiTheme="minorHAnsi" w:cstheme="minorHAnsi"/>
        </w:rPr>
      </w:pPr>
      <w:r w:rsidRPr="00061BA6">
        <w:rPr>
          <w:rFonts w:asciiTheme="minorHAnsi" w:hAnsiTheme="minorHAnsi" w:cstheme="minorHAnsi"/>
        </w:rPr>
        <w:t>Highly Modified Asphalt (</w:t>
      </w:r>
      <w:proofErr w:type="spellStart"/>
      <w:r w:rsidRPr="00061BA6">
        <w:rPr>
          <w:rFonts w:asciiTheme="minorHAnsi" w:hAnsiTheme="minorHAnsi" w:cstheme="minorHAnsi"/>
        </w:rPr>
        <w:t>HiMA</w:t>
      </w:r>
      <w:proofErr w:type="spellEnd"/>
      <w:r w:rsidRPr="00061BA6">
        <w:rPr>
          <w:rFonts w:asciiTheme="minorHAnsi" w:hAnsiTheme="minorHAnsi" w:cstheme="minorHAnsi"/>
        </w:rPr>
        <w:t>) Pilot Project</w:t>
      </w:r>
    </w:p>
    <w:p w14:paraId="3D1E30C3" w14:textId="77777777" w:rsidR="008B6245" w:rsidRDefault="008B6245" w:rsidP="008B6245">
      <w:pPr>
        <w:rPr>
          <w:rFonts w:asciiTheme="minorHAnsi" w:hAnsiTheme="minorHAnsi" w:cstheme="minorHAnsi"/>
        </w:rPr>
      </w:pPr>
    </w:p>
    <w:p w14:paraId="06785990" w14:textId="77777777" w:rsidR="005A099A" w:rsidRPr="0070156F" w:rsidRDefault="005A099A" w:rsidP="005A099A">
      <w:pPr>
        <w:pStyle w:val="NormalWeb"/>
        <w:ind w:left="720"/>
        <w:rPr>
          <w:color w:val="0070C0"/>
        </w:rPr>
      </w:pPr>
      <w:r w:rsidRPr="0070156F">
        <w:rPr>
          <w:color w:val="0070C0"/>
        </w:rPr>
        <w:t>During the MoDOT update at the 2025 MAPA Annual Conference, MoDOT announced their openness to allowing the use of Highly Modified (Hi-MOD) Asphalt for full-depth asphalt applications. They plan to model their specification on the approach used by the Utah Department of Transportation (DOT).</w:t>
      </w:r>
    </w:p>
    <w:p w14:paraId="521094FF" w14:textId="77777777" w:rsidR="005A099A" w:rsidRPr="0070156F" w:rsidRDefault="005A099A" w:rsidP="005A099A">
      <w:pPr>
        <w:pStyle w:val="NormalWeb"/>
        <w:ind w:left="720"/>
        <w:rPr>
          <w:color w:val="0070C0"/>
        </w:rPr>
      </w:pPr>
      <w:r w:rsidRPr="0070156F">
        <w:rPr>
          <w:color w:val="0070C0"/>
        </w:rPr>
        <w:t>One of the key benefits of Hi-MOD asphalt is the potential to reduce pavement thickness. Based on research and experience from the NCAT Test Track and Utah DOT projects, NCAT recommends a thickness reduction factor of 1.7. However, MoDOT expressed concerns that environmental conditions in Utah and Alabama differ significantly from those in Missouri. As a result, MoDOT plans to adopt a more conservative approach, allowing a reduction of the Mechanistic Empirical (ME) design thickness by 1.5.</w:t>
      </w:r>
    </w:p>
    <w:p w14:paraId="6130D081" w14:textId="77777777" w:rsidR="005A099A" w:rsidRPr="0070156F" w:rsidRDefault="005A099A" w:rsidP="005A099A">
      <w:pPr>
        <w:pStyle w:val="NormalWeb"/>
        <w:ind w:left="720"/>
        <w:rPr>
          <w:color w:val="0070C0"/>
        </w:rPr>
      </w:pPr>
      <w:r w:rsidRPr="0070156F">
        <w:rPr>
          <w:color w:val="0070C0"/>
        </w:rPr>
        <w:t>Additionally, MoDOT will require specific considerations for the base material. Hi-MOD asphalt must be placed on either an 18-inch rock fill or a modified subgrade with 6 inches of Type 7 base.</w:t>
      </w:r>
    </w:p>
    <w:p w14:paraId="28BBC4D9" w14:textId="77777777" w:rsidR="005A099A" w:rsidRPr="0070156F" w:rsidRDefault="005A099A" w:rsidP="005A099A">
      <w:pPr>
        <w:pStyle w:val="NormalWeb"/>
        <w:ind w:left="720"/>
        <w:rPr>
          <w:color w:val="0070C0"/>
        </w:rPr>
      </w:pPr>
      <w:r w:rsidRPr="0070156F">
        <w:rPr>
          <w:color w:val="0070C0"/>
        </w:rPr>
        <w:t>MoDOT has agreed to develop specifications and a framework for implementing Hi-MOD asphalt in future projects.</w:t>
      </w:r>
    </w:p>
    <w:p w14:paraId="7005BDD2" w14:textId="77777777" w:rsidR="005A099A" w:rsidRDefault="005A099A" w:rsidP="005A099A">
      <w:pPr>
        <w:pStyle w:val="NormalWeb"/>
        <w:ind w:left="720"/>
        <w:rPr>
          <w:rStyle w:val="Strong"/>
          <w:color w:val="FF0000"/>
        </w:rPr>
      </w:pPr>
      <w:r w:rsidRPr="005A099A">
        <w:rPr>
          <w:rStyle w:val="Strong"/>
          <w:color w:val="FF0000"/>
        </w:rPr>
        <w:t>Action Item:</w:t>
      </w:r>
    </w:p>
    <w:p w14:paraId="467B8675" w14:textId="110461D5" w:rsidR="005A099A" w:rsidRPr="005A099A" w:rsidRDefault="005A099A" w:rsidP="005A099A">
      <w:pPr>
        <w:pStyle w:val="NormalWeb"/>
        <w:ind w:left="720"/>
        <w:rPr>
          <w:color w:val="FF0000"/>
        </w:rPr>
      </w:pPr>
      <w:r w:rsidRPr="005A099A">
        <w:rPr>
          <w:color w:val="FF0000"/>
        </w:rPr>
        <w:t>MoDOT will develop specifications and a framework for the implementation of Hi-MOD asphalt on future projects.</w:t>
      </w:r>
    </w:p>
    <w:p w14:paraId="73917F2E" w14:textId="77777777" w:rsidR="00AF1EDF" w:rsidRPr="00AF1EDF" w:rsidRDefault="00AF1EDF" w:rsidP="00AF1EDF">
      <w:pPr>
        <w:pStyle w:val="ListParagraph"/>
        <w:rPr>
          <w:rFonts w:ascii="Aptos" w:hAnsi="Aptos"/>
        </w:rPr>
      </w:pPr>
    </w:p>
    <w:p w14:paraId="026D414D" w14:textId="77777777" w:rsidR="00AF1EDF" w:rsidRPr="00600FA1" w:rsidRDefault="00F75DAF" w:rsidP="00AF1EDF">
      <w:pPr>
        <w:pStyle w:val="ListParagraph"/>
        <w:numPr>
          <w:ilvl w:val="0"/>
          <w:numId w:val="9"/>
        </w:numPr>
        <w:rPr>
          <w:rFonts w:asciiTheme="minorHAnsi" w:hAnsiTheme="minorHAnsi" w:cstheme="minorHAnsi"/>
        </w:rPr>
      </w:pPr>
      <w:r w:rsidRPr="00AF1EDF">
        <w:rPr>
          <w:rFonts w:ascii="Aptos" w:hAnsi="Aptos"/>
        </w:rPr>
        <w:t>Re-Certification Class Materials</w:t>
      </w:r>
    </w:p>
    <w:p w14:paraId="61E1239A" w14:textId="77777777" w:rsidR="003B020E" w:rsidRPr="003B020E" w:rsidRDefault="003B020E" w:rsidP="003B020E">
      <w:pPr>
        <w:pStyle w:val="NormalWeb"/>
        <w:ind w:left="720"/>
        <w:rPr>
          <w:color w:val="0070C0"/>
        </w:rPr>
      </w:pPr>
      <w:r w:rsidRPr="003B020E">
        <w:rPr>
          <w:color w:val="0070C0"/>
        </w:rPr>
        <w:t>MAPA members who recently attended recertification classes at the State Technical College of Missouri reported inconsistencies between the course materials and testing content. They noted that the materials have not been updated to reflect current specifications and practices.</w:t>
      </w:r>
    </w:p>
    <w:p w14:paraId="1BDA5A63" w14:textId="77777777" w:rsidR="003B020E" w:rsidRPr="003B020E" w:rsidRDefault="003B020E" w:rsidP="003B020E">
      <w:pPr>
        <w:pStyle w:val="NormalWeb"/>
        <w:ind w:left="720"/>
        <w:rPr>
          <w:rStyle w:val="Strong"/>
          <w:color w:val="FF0000"/>
        </w:rPr>
      </w:pPr>
      <w:r w:rsidRPr="003B020E">
        <w:rPr>
          <w:rStyle w:val="Strong"/>
          <w:color w:val="FF0000"/>
        </w:rPr>
        <w:t>Action Item:</w:t>
      </w:r>
    </w:p>
    <w:p w14:paraId="151FB040" w14:textId="22CA385F" w:rsidR="003B020E" w:rsidRPr="003B020E" w:rsidRDefault="003B020E" w:rsidP="003B020E">
      <w:pPr>
        <w:pStyle w:val="NormalWeb"/>
        <w:ind w:left="720"/>
        <w:rPr>
          <w:color w:val="FF0000"/>
        </w:rPr>
      </w:pPr>
      <w:r w:rsidRPr="003B020E">
        <w:rPr>
          <w:color w:val="FF0000"/>
        </w:rPr>
        <w:t>Brett Trautman will collaborate with Steve Jackson and Joe Schroer to review, update, and align course materials and tests with current specifications and practices.</w:t>
      </w:r>
    </w:p>
    <w:p w14:paraId="346EE5C3" w14:textId="77777777" w:rsidR="00AF1EDF" w:rsidRPr="00AF1EDF" w:rsidRDefault="00AF1EDF" w:rsidP="00AF1EDF">
      <w:pPr>
        <w:pStyle w:val="ListParagraph"/>
        <w:rPr>
          <w:rFonts w:asciiTheme="minorHAnsi" w:hAnsiTheme="minorHAnsi" w:cstheme="minorHAnsi"/>
        </w:rPr>
      </w:pPr>
    </w:p>
    <w:p w14:paraId="653BD681" w14:textId="77777777" w:rsidR="007369C4" w:rsidRDefault="00BD50E9" w:rsidP="00AF1EDF">
      <w:pPr>
        <w:pStyle w:val="ListParagraph"/>
        <w:numPr>
          <w:ilvl w:val="0"/>
          <w:numId w:val="9"/>
        </w:numPr>
        <w:rPr>
          <w:rFonts w:asciiTheme="minorHAnsi" w:hAnsiTheme="minorHAnsi" w:cstheme="minorHAnsi"/>
        </w:rPr>
      </w:pPr>
      <w:r w:rsidRPr="00AF1EDF">
        <w:rPr>
          <w:rFonts w:asciiTheme="minorHAnsi" w:hAnsiTheme="minorHAnsi" w:cstheme="minorHAnsi"/>
        </w:rPr>
        <w:t>QC/QA Breakout Session Topics/MAPA Spring Training/February 12 – 13, 2025 Columbia, MO</w:t>
      </w:r>
    </w:p>
    <w:p w14:paraId="7CA04923" w14:textId="77777777" w:rsidR="007369C4" w:rsidRPr="0046186C" w:rsidRDefault="007369C4" w:rsidP="007369C4">
      <w:pPr>
        <w:pStyle w:val="NormalWeb"/>
        <w:ind w:left="720"/>
        <w:rPr>
          <w:color w:val="0070C0"/>
        </w:rPr>
      </w:pPr>
      <w:r w:rsidRPr="0046186C">
        <w:rPr>
          <w:color w:val="0070C0"/>
        </w:rPr>
        <w:t>MAPA emphasized the importance of making MoDOT inspection staff aware that the QC/QA breakout session was specifically developed to provide relevant and practical content for them. MAPA encourages MoDOT field inspectors to attend the training.</w:t>
      </w:r>
    </w:p>
    <w:p w14:paraId="2C22D00F" w14:textId="77777777" w:rsidR="007369C4" w:rsidRPr="0046186C" w:rsidRDefault="007369C4" w:rsidP="007369C4">
      <w:pPr>
        <w:pStyle w:val="NormalWeb"/>
        <w:ind w:left="720"/>
        <w:rPr>
          <w:rStyle w:val="Strong"/>
          <w:color w:val="FF0000"/>
        </w:rPr>
      </w:pPr>
      <w:r w:rsidRPr="0046186C">
        <w:rPr>
          <w:rStyle w:val="Strong"/>
          <w:color w:val="FF0000"/>
        </w:rPr>
        <w:t>Action Item:</w:t>
      </w:r>
    </w:p>
    <w:p w14:paraId="4E948B2B" w14:textId="77777777" w:rsidR="007369C4" w:rsidRDefault="007369C4" w:rsidP="007369C4">
      <w:pPr>
        <w:pStyle w:val="NormalWeb"/>
        <w:ind w:left="720"/>
        <w:rPr>
          <w:color w:val="FF0000"/>
        </w:rPr>
      </w:pPr>
      <w:r w:rsidRPr="0046186C">
        <w:rPr>
          <w:color w:val="FF0000"/>
        </w:rPr>
        <w:t>MoDOT will forward the agenda and registration information to inspection staff and encourage their participation in the MAPA Spring Training.</w:t>
      </w:r>
    </w:p>
    <w:p w14:paraId="0E135673" w14:textId="358B64F5" w:rsidR="007369C4" w:rsidRDefault="007369C4" w:rsidP="00AF1EDF">
      <w:pPr>
        <w:pStyle w:val="ListParagraph"/>
        <w:numPr>
          <w:ilvl w:val="0"/>
          <w:numId w:val="9"/>
        </w:numPr>
        <w:rPr>
          <w:rFonts w:asciiTheme="minorHAnsi" w:hAnsiTheme="minorHAnsi" w:cstheme="minorHAnsi"/>
        </w:rPr>
      </w:pPr>
      <w:r>
        <w:rPr>
          <w:rFonts w:asciiTheme="minorHAnsi" w:hAnsiTheme="minorHAnsi" w:cstheme="minorHAnsi"/>
        </w:rPr>
        <w:t>New Business</w:t>
      </w:r>
    </w:p>
    <w:p w14:paraId="00DEAC76" w14:textId="1D397476" w:rsidR="00146FA8" w:rsidRPr="00A438D8" w:rsidRDefault="00146FA8" w:rsidP="00A438D8">
      <w:pPr>
        <w:pStyle w:val="NormalWeb"/>
        <w:ind w:left="720"/>
        <w:rPr>
          <w:color w:val="0070C0"/>
        </w:rPr>
      </w:pPr>
      <w:r w:rsidRPr="00A438D8">
        <w:rPr>
          <w:color w:val="0070C0"/>
        </w:rPr>
        <w:t xml:space="preserve">MoDOT has proposed amendments to </w:t>
      </w:r>
      <w:r w:rsidRPr="00A438D8">
        <w:rPr>
          <w:b/>
          <w:bCs/>
          <w:color w:val="0070C0"/>
        </w:rPr>
        <w:t>7 CSR 10-15.010</w:t>
      </w:r>
      <w:r w:rsidR="003C32CE" w:rsidRPr="00A438D8">
        <w:rPr>
          <w:b/>
          <w:bCs/>
          <w:color w:val="0070C0"/>
        </w:rPr>
        <w:t xml:space="preserve"> </w:t>
      </w:r>
      <w:r w:rsidR="003C32CE" w:rsidRPr="00A438D8">
        <w:rPr>
          <w:b/>
          <w:bCs/>
          <w:color w:val="0070C0"/>
        </w:rPr>
        <w:t>Prequalification to Bid of Certain Contractors</w:t>
      </w:r>
      <w:r w:rsidR="00A35BE5" w:rsidRPr="00A438D8">
        <w:rPr>
          <w:color w:val="0070C0"/>
        </w:rPr>
        <w:t>,</w:t>
      </w:r>
      <w:r w:rsidRPr="00A438D8">
        <w:rPr>
          <w:color w:val="0070C0"/>
        </w:rPr>
        <w:t xml:space="preserve"> to streamline and clarify the contractor prequalification process.</w:t>
      </w:r>
    </w:p>
    <w:p w14:paraId="798AD4F9" w14:textId="77777777" w:rsidR="00146FA8" w:rsidRPr="00A438D8" w:rsidRDefault="00146FA8" w:rsidP="00A438D8">
      <w:pPr>
        <w:pStyle w:val="NormalWeb"/>
        <w:ind w:left="720"/>
        <w:rPr>
          <w:color w:val="0070C0"/>
        </w:rPr>
      </w:pPr>
      <w:r w:rsidRPr="00A438D8">
        <w:rPr>
          <w:rStyle w:val="Strong"/>
          <w:color w:val="0070C0"/>
        </w:rPr>
        <w:t>Key Changes:</w:t>
      </w:r>
    </w:p>
    <w:p w14:paraId="16351B0B" w14:textId="77777777" w:rsidR="00A100E7" w:rsidRPr="00A438D8" w:rsidRDefault="00A100E7" w:rsidP="00A438D8">
      <w:pPr>
        <w:pStyle w:val="ListParagraph"/>
        <w:numPr>
          <w:ilvl w:val="0"/>
          <w:numId w:val="19"/>
        </w:numPr>
        <w:tabs>
          <w:tab w:val="clear" w:pos="720"/>
          <w:tab w:val="num" w:pos="1440"/>
        </w:tabs>
        <w:ind w:left="1440"/>
        <w:contextualSpacing w:val="0"/>
        <w:rPr>
          <w:color w:val="0070C0"/>
          <w:sz w:val="22"/>
          <w:szCs w:val="22"/>
        </w:rPr>
      </w:pPr>
      <w:r w:rsidRPr="00A438D8">
        <w:rPr>
          <w:color w:val="0070C0"/>
        </w:rPr>
        <w:t xml:space="preserve">Condensing the current 2 forms down to 1 form (indicating if you choose to be approved for above or below $2 million) </w:t>
      </w:r>
    </w:p>
    <w:p w14:paraId="0E5B2E18" w14:textId="6C2025F7" w:rsidR="00A100E7" w:rsidRPr="00A438D8" w:rsidRDefault="00A100E7" w:rsidP="00A438D8">
      <w:pPr>
        <w:pStyle w:val="ListParagraph"/>
        <w:numPr>
          <w:ilvl w:val="0"/>
          <w:numId w:val="19"/>
        </w:numPr>
        <w:tabs>
          <w:tab w:val="clear" w:pos="720"/>
          <w:tab w:val="num" w:pos="1440"/>
        </w:tabs>
        <w:ind w:left="1440"/>
        <w:contextualSpacing w:val="0"/>
        <w:rPr>
          <w:color w:val="0070C0"/>
        </w:rPr>
      </w:pPr>
      <w:r w:rsidRPr="00A438D8">
        <w:rPr>
          <w:color w:val="0070C0"/>
        </w:rPr>
        <w:t>Requiring electronic submittal- simply just an email with PDF attachment</w:t>
      </w:r>
      <w:r w:rsidRPr="00A438D8">
        <w:rPr>
          <w:color w:val="0070C0"/>
        </w:rPr>
        <w:t>— (</w:t>
      </w:r>
      <w:r w:rsidRPr="00A438D8">
        <w:rPr>
          <w:color w:val="0070C0"/>
        </w:rPr>
        <w:t>no longer allowing US postal mail)</w:t>
      </w:r>
    </w:p>
    <w:p w14:paraId="5B0411EE" w14:textId="77777777" w:rsidR="00A100E7" w:rsidRPr="00A438D8" w:rsidRDefault="00A100E7" w:rsidP="00A438D8">
      <w:pPr>
        <w:pStyle w:val="ListParagraph"/>
        <w:numPr>
          <w:ilvl w:val="0"/>
          <w:numId w:val="19"/>
        </w:numPr>
        <w:tabs>
          <w:tab w:val="clear" w:pos="720"/>
          <w:tab w:val="num" w:pos="1440"/>
        </w:tabs>
        <w:ind w:left="1440"/>
        <w:contextualSpacing w:val="0"/>
        <w:rPr>
          <w:color w:val="0070C0"/>
        </w:rPr>
      </w:pPr>
      <w:r w:rsidRPr="00A438D8">
        <w:rPr>
          <w:color w:val="0070C0"/>
        </w:rPr>
        <w:t>Requiring an answer for every question</w:t>
      </w:r>
    </w:p>
    <w:p w14:paraId="4630AEAD" w14:textId="77777777" w:rsidR="00A100E7" w:rsidRPr="00A438D8" w:rsidRDefault="00A100E7" w:rsidP="00A438D8">
      <w:pPr>
        <w:pStyle w:val="ListParagraph"/>
        <w:numPr>
          <w:ilvl w:val="0"/>
          <w:numId w:val="19"/>
        </w:numPr>
        <w:tabs>
          <w:tab w:val="clear" w:pos="720"/>
          <w:tab w:val="num" w:pos="1440"/>
        </w:tabs>
        <w:ind w:left="1440"/>
        <w:contextualSpacing w:val="0"/>
        <w:rPr>
          <w:color w:val="0070C0"/>
        </w:rPr>
      </w:pPr>
      <w:r w:rsidRPr="00A438D8">
        <w:rPr>
          <w:color w:val="0070C0"/>
        </w:rPr>
        <w:t xml:space="preserve">Acknowledging Commission required insurance can be obtained but no COI at time of prequalification </w:t>
      </w:r>
    </w:p>
    <w:p w14:paraId="54AA0D2C" w14:textId="77777777" w:rsidR="00A100E7" w:rsidRPr="00A438D8" w:rsidRDefault="00A100E7" w:rsidP="00A438D8">
      <w:pPr>
        <w:pStyle w:val="ListParagraph"/>
        <w:numPr>
          <w:ilvl w:val="0"/>
          <w:numId w:val="19"/>
        </w:numPr>
        <w:tabs>
          <w:tab w:val="clear" w:pos="720"/>
          <w:tab w:val="num" w:pos="1440"/>
        </w:tabs>
        <w:ind w:left="1440"/>
        <w:contextualSpacing w:val="0"/>
        <w:rPr>
          <w:color w:val="0070C0"/>
        </w:rPr>
      </w:pPr>
      <w:r w:rsidRPr="00A438D8">
        <w:rPr>
          <w:color w:val="0070C0"/>
        </w:rPr>
        <w:t xml:space="preserve">No longer requiring signature from a notary </w:t>
      </w:r>
    </w:p>
    <w:p w14:paraId="577B91DB" w14:textId="77777777" w:rsidR="004E60B0" w:rsidRPr="00A438D8" w:rsidRDefault="004E60B0" w:rsidP="00A438D8">
      <w:pPr>
        <w:ind w:left="720"/>
        <w:rPr>
          <w:color w:val="0070C0"/>
        </w:rPr>
      </w:pPr>
    </w:p>
    <w:p w14:paraId="01222129" w14:textId="606590C3" w:rsidR="004E60B0" w:rsidRPr="00A438D8" w:rsidRDefault="00364999" w:rsidP="00A438D8">
      <w:pPr>
        <w:ind w:left="720"/>
        <w:rPr>
          <w:color w:val="0070C0"/>
          <w:sz w:val="22"/>
          <w:szCs w:val="22"/>
        </w:rPr>
      </w:pPr>
      <w:r w:rsidRPr="00A438D8">
        <w:rPr>
          <w:color w:val="0070C0"/>
        </w:rPr>
        <w:lastRenderedPageBreak/>
        <w:t xml:space="preserve">Information regarding the proposed rules can be found at </w:t>
      </w:r>
      <w:hyperlink r:id="rId11" w:history="1">
        <w:r w:rsidR="004E60B0" w:rsidRPr="00A438D8">
          <w:rPr>
            <w:rStyle w:val="Hyperlink"/>
            <w:color w:val="0070C0"/>
          </w:rPr>
          <w:t>MoDOT Proposed Rules | Missouri Department of Transportation</w:t>
        </w:r>
      </w:hyperlink>
      <w:r w:rsidRPr="00A438D8">
        <w:rPr>
          <w:color w:val="0070C0"/>
        </w:rPr>
        <w:t xml:space="preserve">.  Comment period closes </w:t>
      </w:r>
      <w:r w:rsidR="00A438D8" w:rsidRPr="00A438D8">
        <w:rPr>
          <w:color w:val="0070C0"/>
        </w:rPr>
        <w:t>30 days from January 15.</w:t>
      </w:r>
    </w:p>
    <w:p w14:paraId="510FBB77" w14:textId="77777777" w:rsidR="004E60B0" w:rsidRPr="00A438D8" w:rsidRDefault="004E60B0" w:rsidP="004E60B0">
      <w:pPr>
        <w:rPr>
          <w:color w:val="0070C0"/>
        </w:rPr>
      </w:pPr>
    </w:p>
    <w:p w14:paraId="7B7EB5F6" w14:textId="77777777" w:rsidR="000900EA" w:rsidRDefault="000900EA" w:rsidP="000900EA"/>
    <w:p w14:paraId="45B7FD11" w14:textId="77777777" w:rsidR="00A87E8F" w:rsidRDefault="00A87E8F" w:rsidP="00A87E8F">
      <w:pPr>
        <w:pStyle w:val="ListParagraph"/>
      </w:pPr>
    </w:p>
    <w:p w14:paraId="72E2CA1B" w14:textId="3BDD34C0" w:rsidR="001F71A9" w:rsidRDefault="001F71A9" w:rsidP="001F71A9">
      <w:pPr>
        <w:rPr>
          <w:b/>
        </w:rPr>
      </w:pPr>
      <w:r>
        <w:rPr>
          <w:b/>
        </w:rPr>
        <w:t>NEXT MAPA / MoDOT Quarterly Meeting</w:t>
      </w:r>
    </w:p>
    <w:p w14:paraId="01705BCF" w14:textId="087FB2BD" w:rsidR="001F71A9" w:rsidRDefault="001004BD" w:rsidP="001F71A9">
      <w:pPr>
        <w:rPr>
          <w:b/>
        </w:rPr>
      </w:pPr>
      <w:r>
        <w:rPr>
          <w:b/>
        </w:rPr>
        <w:t xml:space="preserve">Tuesday, </w:t>
      </w:r>
      <w:r w:rsidR="00A551B3">
        <w:rPr>
          <w:b/>
        </w:rPr>
        <w:t>May 6</w:t>
      </w:r>
      <w:r w:rsidR="00733921">
        <w:rPr>
          <w:b/>
        </w:rPr>
        <w:t>,</w:t>
      </w:r>
      <w:r w:rsidR="001F71A9">
        <w:rPr>
          <w:b/>
        </w:rPr>
        <w:t xml:space="preserve"> 202</w:t>
      </w:r>
      <w:r w:rsidR="00733921">
        <w:rPr>
          <w:b/>
        </w:rPr>
        <w:t>5</w:t>
      </w:r>
      <w:r w:rsidR="001F71A9">
        <w:rPr>
          <w:b/>
        </w:rPr>
        <w:t xml:space="preserve"> / 1:00 – 3:00 p.m.</w:t>
      </w:r>
    </w:p>
    <w:p w14:paraId="4E7EBA30" w14:textId="77777777" w:rsidR="001F71A9" w:rsidRDefault="001F71A9" w:rsidP="001F71A9">
      <w:pPr>
        <w:rPr>
          <w:b/>
        </w:rPr>
      </w:pPr>
      <w:r>
        <w:rPr>
          <w:b/>
        </w:rPr>
        <w:t>Videoconference / In-person</w:t>
      </w:r>
    </w:p>
    <w:p w14:paraId="45FE3EB2" w14:textId="69C94FAC" w:rsidR="00A87E8F" w:rsidRDefault="00A87E8F" w:rsidP="001F71A9"/>
    <w:p w14:paraId="2FD3214F" w14:textId="77777777" w:rsidR="001F71A9" w:rsidRPr="00317640" w:rsidRDefault="001F71A9" w:rsidP="00A87E8F"/>
    <w:sectPr w:rsidR="001F71A9" w:rsidRPr="00317640" w:rsidSect="008842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B12"/>
    <w:multiLevelType w:val="multilevel"/>
    <w:tmpl w:val="599C1F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3C5E79"/>
    <w:multiLevelType w:val="multilevel"/>
    <w:tmpl w:val="2F74E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A2B36"/>
    <w:multiLevelType w:val="multilevel"/>
    <w:tmpl w:val="C0AE6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6B17AC"/>
    <w:multiLevelType w:val="hybridMultilevel"/>
    <w:tmpl w:val="3AAC42C0"/>
    <w:lvl w:ilvl="0" w:tplc="B87E409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476A45"/>
    <w:multiLevelType w:val="hybridMultilevel"/>
    <w:tmpl w:val="A2C4EC2A"/>
    <w:lvl w:ilvl="0" w:tplc="DD1AB8AE">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93CC1"/>
    <w:multiLevelType w:val="hybridMultilevel"/>
    <w:tmpl w:val="A2C4EC2A"/>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803DF6"/>
    <w:multiLevelType w:val="multilevel"/>
    <w:tmpl w:val="93AA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56AB6"/>
    <w:multiLevelType w:val="hybridMultilevel"/>
    <w:tmpl w:val="13C00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F79A9"/>
    <w:multiLevelType w:val="multilevel"/>
    <w:tmpl w:val="1E04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9738F"/>
    <w:multiLevelType w:val="multilevel"/>
    <w:tmpl w:val="2ABE04C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482A4308"/>
    <w:multiLevelType w:val="hybridMultilevel"/>
    <w:tmpl w:val="13C00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973D83"/>
    <w:multiLevelType w:val="multilevel"/>
    <w:tmpl w:val="FDF66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D3443D"/>
    <w:multiLevelType w:val="multilevel"/>
    <w:tmpl w:val="5AAC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120A6"/>
    <w:multiLevelType w:val="hybridMultilevel"/>
    <w:tmpl w:val="9078D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6C46E2F"/>
    <w:multiLevelType w:val="hybridMultilevel"/>
    <w:tmpl w:val="5F78E524"/>
    <w:lvl w:ilvl="0" w:tplc="3104B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312EDE"/>
    <w:multiLevelType w:val="hybridMultilevel"/>
    <w:tmpl w:val="6EF641C4"/>
    <w:lvl w:ilvl="0" w:tplc="C6067FA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27E15"/>
    <w:multiLevelType w:val="hybridMultilevel"/>
    <w:tmpl w:val="59E8A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CF71198"/>
    <w:multiLevelType w:val="hybridMultilevel"/>
    <w:tmpl w:val="13C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70730F"/>
    <w:multiLevelType w:val="hybridMultilevel"/>
    <w:tmpl w:val="13C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986419">
    <w:abstractNumId w:val="3"/>
  </w:num>
  <w:num w:numId="2" w16cid:durableId="1461459736">
    <w:abstractNumId w:val="15"/>
  </w:num>
  <w:num w:numId="3" w16cid:durableId="17596706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0353681">
    <w:abstractNumId w:val="7"/>
  </w:num>
  <w:num w:numId="5" w16cid:durableId="101846563">
    <w:abstractNumId w:val="17"/>
  </w:num>
  <w:num w:numId="6" w16cid:durableId="97513794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814430">
    <w:abstractNumId w:val="18"/>
  </w:num>
  <w:num w:numId="8" w16cid:durableId="1866206969">
    <w:abstractNumId w:val="10"/>
  </w:num>
  <w:num w:numId="9" w16cid:durableId="1750346230">
    <w:abstractNumId w:val="4"/>
  </w:num>
  <w:num w:numId="10" w16cid:durableId="1911042517">
    <w:abstractNumId w:val="5"/>
  </w:num>
  <w:num w:numId="11" w16cid:durableId="727148678">
    <w:abstractNumId w:val="9"/>
  </w:num>
  <w:num w:numId="12" w16cid:durableId="571546009">
    <w:abstractNumId w:val="1"/>
  </w:num>
  <w:num w:numId="13" w16cid:durableId="608438332">
    <w:abstractNumId w:val="14"/>
  </w:num>
  <w:num w:numId="14" w16cid:durableId="1149710705">
    <w:abstractNumId w:val="11"/>
  </w:num>
  <w:num w:numId="15" w16cid:durableId="792286647">
    <w:abstractNumId w:val="8"/>
  </w:num>
  <w:num w:numId="16" w16cid:durableId="1071194331">
    <w:abstractNumId w:val="2"/>
  </w:num>
  <w:num w:numId="17" w16cid:durableId="1060598404">
    <w:abstractNumId w:val="6"/>
  </w:num>
  <w:num w:numId="18" w16cid:durableId="248737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8650493">
    <w:abstractNumId w:val="12"/>
  </w:num>
  <w:num w:numId="20" w16cid:durableId="321082258">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A3"/>
    <w:rsid w:val="00002FFC"/>
    <w:rsid w:val="0000381D"/>
    <w:rsid w:val="00004627"/>
    <w:rsid w:val="000067D0"/>
    <w:rsid w:val="00026B2C"/>
    <w:rsid w:val="00031F0E"/>
    <w:rsid w:val="00033755"/>
    <w:rsid w:val="00033EFE"/>
    <w:rsid w:val="0003515C"/>
    <w:rsid w:val="00041D3D"/>
    <w:rsid w:val="00044FC5"/>
    <w:rsid w:val="00052128"/>
    <w:rsid w:val="00053C62"/>
    <w:rsid w:val="00061BA6"/>
    <w:rsid w:val="00062938"/>
    <w:rsid w:val="00063731"/>
    <w:rsid w:val="00064C54"/>
    <w:rsid w:val="00082DFD"/>
    <w:rsid w:val="0008300A"/>
    <w:rsid w:val="0008547B"/>
    <w:rsid w:val="00085EFC"/>
    <w:rsid w:val="000900EA"/>
    <w:rsid w:val="00093F43"/>
    <w:rsid w:val="00097CF0"/>
    <w:rsid w:val="000A20A2"/>
    <w:rsid w:val="000C0F9E"/>
    <w:rsid w:val="000C10DB"/>
    <w:rsid w:val="000C4816"/>
    <w:rsid w:val="000D4A90"/>
    <w:rsid w:val="000E45BB"/>
    <w:rsid w:val="000F25E4"/>
    <w:rsid w:val="001004BD"/>
    <w:rsid w:val="001008BF"/>
    <w:rsid w:val="00111BE2"/>
    <w:rsid w:val="00114B02"/>
    <w:rsid w:val="00114BEC"/>
    <w:rsid w:val="00120591"/>
    <w:rsid w:val="00130CD9"/>
    <w:rsid w:val="00130F32"/>
    <w:rsid w:val="00132A73"/>
    <w:rsid w:val="0013562F"/>
    <w:rsid w:val="00146FA8"/>
    <w:rsid w:val="001506A6"/>
    <w:rsid w:val="00153231"/>
    <w:rsid w:val="00153A8E"/>
    <w:rsid w:val="00155048"/>
    <w:rsid w:val="00155332"/>
    <w:rsid w:val="00160E0F"/>
    <w:rsid w:val="001657D2"/>
    <w:rsid w:val="00170EBD"/>
    <w:rsid w:val="001879BE"/>
    <w:rsid w:val="00191F21"/>
    <w:rsid w:val="001A02E1"/>
    <w:rsid w:val="001A695C"/>
    <w:rsid w:val="001A7930"/>
    <w:rsid w:val="001B30E0"/>
    <w:rsid w:val="001B59AE"/>
    <w:rsid w:val="001B77E5"/>
    <w:rsid w:val="001C0DF9"/>
    <w:rsid w:val="001C3C13"/>
    <w:rsid w:val="001C5243"/>
    <w:rsid w:val="001D64B1"/>
    <w:rsid w:val="001E128A"/>
    <w:rsid w:val="001E3545"/>
    <w:rsid w:val="001F1097"/>
    <w:rsid w:val="001F3EBF"/>
    <w:rsid w:val="001F4C84"/>
    <w:rsid w:val="001F71A9"/>
    <w:rsid w:val="001F7E84"/>
    <w:rsid w:val="00201595"/>
    <w:rsid w:val="002035C8"/>
    <w:rsid w:val="00203800"/>
    <w:rsid w:val="00203AC9"/>
    <w:rsid w:val="0020634A"/>
    <w:rsid w:val="00212318"/>
    <w:rsid w:val="0021333A"/>
    <w:rsid w:val="002145C3"/>
    <w:rsid w:val="002206B9"/>
    <w:rsid w:val="00221082"/>
    <w:rsid w:val="00221F0E"/>
    <w:rsid w:val="0022692A"/>
    <w:rsid w:val="0023200E"/>
    <w:rsid w:val="00241E56"/>
    <w:rsid w:val="00242A56"/>
    <w:rsid w:val="00243BDC"/>
    <w:rsid w:val="00245778"/>
    <w:rsid w:val="002549AF"/>
    <w:rsid w:val="00257C85"/>
    <w:rsid w:val="002757D2"/>
    <w:rsid w:val="00290C73"/>
    <w:rsid w:val="00293383"/>
    <w:rsid w:val="00297501"/>
    <w:rsid w:val="00297DDE"/>
    <w:rsid w:val="002A15C2"/>
    <w:rsid w:val="002B15BE"/>
    <w:rsid w:val="002C023F"/>
    <w:rsid w:val="002C1E7D"/>
    <w:rsid w:val="002D4266"/>
    <w:rsid w:val="002E3909"/>
    <w:rsid w:val="002E45E7"/>
    <w:rsid w:val="002E6C05"/>
    <w:rsid w:val="002E7FF1"/>
    <w:rsid w:val="002F5798"/>
    <w:rsid w:val="002F6758"/>
    <w:rsid w:val="00317640"/>
    <w:rsid w:val="0032257B"/>
    <w:rsid w:val="003249D5"/>
    <w:rsid w:val="00326227"/>
    <w:rsid w:val="00330D1C"/>
    <w:rsid w:val="00332C7D"/>
    <w:rsid w:val="003351FE"/>
    <w:rsid w:val="00347716"/>
    <w:rsid w:val="00350A65"/>
    <w:rsid w:val="00354A22"/>
    <w:rsid w:val="00364999"/>
    <w:rsid w:val="00366A35"/>
    <w:rsid w:val="0037054F"/>
    <w:rsid w:val="00381010"/>
    <w:rsid w:val="0038151C"/>
    <w:rsid w:val="003856EB"/>
    <w:rsid w:val="00390042"/>
    <w:rsid w:val="003901A5"/>
    <w:rsid w:val="00391A47"/>
    <w:rsid w:val="00395514"/>
    <w:rsid w:val="00396155"/>
    <w:rsid w:val="003979ED"/>
    <w:rsid w:val="003A1F8D"/>
    <w:rsid w:val="003A65C9"/>
    <w:rsid w:val="003A68D0"/>
    <w:rsid w:val="003A6B94"/>
    <w:rsid w:val="003A7B88"/>
    <w:rsid w:val="003B020E"/>
    <w:rsid w:val="003B1CB5"/>
    <w:rsid w:val="003B26D0"/>
    <w:rsid w:val="003B27FF"/>
    <w:rsid w:val="003B43A7"/>
    <w:rsid w:val="003B4DC9"/>
    <w:rsid w:val="003B55DD"/>
    <w:rsid w:val="003C28F0"/>
    <w:rsid w:val="003C32CE"/>
    <w:rsid w:val="003C35FC"/>
    <w:rsid w:val="003C3C0C"/>
    <w:rsid w:val="003D0BBF"/>
    <w:rsid w:val="003D7C07"/>
    <w:rsid w:val="003E7789"/>
    <w:rsid w:val="003F1477"/>
    <w:rsid w:val="003F63D8"/>
    <w:rsid w:val="00403F68"/>
    <w:rsid w:val="00412054"/>
    <w:rsid w:val="00413351"/>
    <w:rsid w:val="00416F6C"/>
    <w:rsid w:val="0042234A"/>
    <w:rsid w:val="00424D4C"/>
    <w:rsid w:val="00425763"/>
    <w:rsid w:val="004366C4"/>
    <w:rsid w:val="0044674B"/>
    <w:rsid w:val="00446915"/>
    <w:rsid w:val="004533F9"/>
    <w:rsid w:val="00456506"/>
    <w:rsid w:val="0046186C"/>
    <w:rsid w:val="00471276"/>
    <w:rsid w:val="004726DF"/>
    <w:rsid w:val="004738AB"/>
    <w:rsid w:val="004752C6"/>
    <w:rsid w:val="0048039B"/>
    <w:rsid w:val="004829F0"/>
    <w:rsid w:val="00484FE6"/>
    <w:rsid w:val="0049204C"/>
    <w:rsid w:val="00493D57"/>
    <w:rsid w:val="004964F3"/>
    <w:rsid w:val="004C496E"/>
    <w:rsid w:val="004D4DF0"/>
    <w:rsid w:val="004D4F1D"/>
    <w:rsid w:val="004D7F37"/>
    <w:rsid w:val="004E5058"/>
    <w:rsid w:val="004E60B0"/>
    <w:rsid w:val="004F281E"/>
    <w:rsid w:val="00510E66"/>
    <w:rsid w:val="00535D57"/>
    <w:rsid w:val="005428A1"/>
    <w:rsid w:val="00543BF8"/>
    <w:rsid w:val="00545B6B"/>
    <w:rsid w:val="0055732E"/>
    <w:rsid w:val="00560A45"/>
    <w:rsid w:val="005624C1"/>
    <w:rsid w:val="00577EC0"/>
    <w:rsid w:val="00586EA7"/>
    <w:rsid w:val="00592178"/>
    <w:rsid w:val="00592492"/>
    <w:rsid w:val="00592A43"/>
    <w:rsid w:val="00596C9F"/>
    <w:rsid w:val="005A099A"/>
    <w:rsid w:val="005A7F13"/>
    <w:rsid w:val="005C002B"/>
    <w:rsid w:val="005D3663"/>
    <w:rsid w:val="005D606F"/>
    <w:rsid w:val="005E02A0"/>
    <w:rsid w:val="005E0656"/>
    <w:rsid w:val="005F3653"/>
    <w:rsid w:val="0060096B"/>
    <w:rsid w:val="00600FA1"/>
    <w:rsid w:val="0060163C"/>
    <w:rsid w:val="006019FA"/>
    <w:rsid w:val="00606C7C"/>
    <w:rsid w:val="0061473E"/>
    <w:rsid w:val="00614F68"/>
    <w:rsid w:val="006321C4"/>
    <w:rsid w:val="00643E72"/>
    <w:rsid w:val="006447D3"/>
    <w:rsid w:val="00644D2C"/>
    <w:rsid w:val="0064693E"/>
    <w:rsid w:val="00647324"/>
    <w:rsid w:val="00647B1D"/>
    <w:rsid w:val="0065748F"/>
    <w:rsid w:val="0066599E"/>
    <w:rsid w:val="00667475"/>
    <w:rsid w:val="006754E8"/>
    <w:rsid w:val="00681402"/>
    <w:rsid w:val="006A1941"/>
    <w:rsid w:val="006B7653"/>
    <w:rsid w:val="006C39BD"/>
    <w:rsid w:val="006D6104"/>
    <w:rsid w:val="006E5D9E"/>
    <w:rsid w:val="006E5F8B"/>
    <w:rsid w:val="006F078C"/>
    <w:rsid w:val="006F45BB"/>
    <w:rsid w:val="0070156F"/>
    <w:rsid w:val="007023B9"/>
    <w:rsid w:val="00707217"/>
    <w:rsid w:val="00710EAD"/>
    <w:rsid w:val="007125BF"/>
    <w:rsid w:val="007156EE"/>
    <w:rsid w:val="00723EC9"/>
    <w:rsid w:val="00731004"/>
    <w:rsid w:val="00733921"/>
    <w:rsid w:val="007369C4"/>
    <w:rsid w:val="00740942"/>
    <w:rsid w:val="00741CCF"/>
    <w:rsid w:val="00742554"/>
    <w:rsid w:val="00751E85"/>
    <w:rsid w:val="00764B85"/>
    <w:rsid w:val="00767881"/>
    <w:rsid w:val="00770C33"/>
    <w:rsid w:val="00773AE4"/>
    <w:rsid w:val="007816BB"/>
    <w:rsid w:val="007834F7"/>
    <w:rsid w:val="00786B98"/>
    <w:rsid w:val="00791D95"/>
    <w:rsid w:val="0079521B"/>
    <w:rsid w:val="007A0D86"/>
    <w:rsid w:val="007A72BD"/>
    <w:rsid w:val="007B0827"/>
    <w:rsid w:val="007B0884"/>
    <w:rsid w:val="007B47E3"/>
    <w:rsid w:val="007C0181"/>
    <w:rsid w:val="007C1D89"/>
    <w:rsid w:val="007C201D"/>
    <w:rsid w:val="007C371C"/>
    <w:rsid w:val="007D55CB"/>
    <w:rsid w:val="007E2635"/>
    <w:rsid w:val="007E3193"/>
    <w:rsid w:val="007E4CCF"/>
    <w:rsid w:val="007F01CF"/>
    <w:rsid w:val="007F39E3"/>
    <w:rsid w:val="007F4770"/>
    <w:rsid w:val="00802DAF"/>
    <w:rsid w:val="00802E42"/>
    <w:rsid w:val="00813E28"/>
    <w:rsid w:val="00822E35"/>
    <w:rsid w:val="00823E54"/>
    <w:rsid w:val="00826B03"/>
    <w:rsid w:val="0083086A"/>
    <w:rsid w:val="0083316A"/>
    <w:rsid w:val="00841390"/>
    <w:rsid w:val="00842B46"/>
    <w:rsid w:val="00852135"/>
    <w:rsid w:val="0085278C"/>
    <w:rsid w:val="008546D8"/>
    <w:rsid w:val="00856C59"/>
    <w:rsid w:val="0087359E"/>
    <w:rsid w:val="00873B81"/>
    <w:rsid w:val="008842DE"/>
    <w:rsid w:val="008857A3"/>
    <w:rsid w:val="00885F11"/>
    <w:rsid w:val="008861FC"/>
    <w:rsid w:val="00887F3C"/>
    <w:rsid w:val="00891691"/>
    <w:rsid w:val="008B6245"/>
    <w:rsid w:val="008B717F"/>
    <w:rsid w:val="008D311A"/>
    <w:rsid w:val="008E52CE"/>
    <w:rsid w:val="0090427E"/>
    <w:rsid w:val="00906E4D"/>
    <w:rsid w:val="00916057"/>
    <w:rsid w:val="00916CA9"/>
    <w:rsid w:val="00935CF6"/>
    <w:rsid w:val="009410C1"/>
    <w:rsid w:val="0094135C"/>
    <w:rsid w:val="00954ECF"/>
    <w:rsid w:val="00956A40"/>
    <w:rsid w:val="00957E62"/>
    <w:rsid w:val="00965E1D"/>
    <w:rsid w:val="00973E90"/>
    <w:rsid w:val="00986ADC"/>
    <w:rsid w:val="0098730B"/>
    <w:rsid w:val="009948E5"/>
    <w:rsid w:val="00997E8B"/>
    <w:rsid w:val="009A107B"/>
    <w:rsid w:val="009A602E"/>
    <w:rsid w:val="009B1C0A"/>
    <w:rsid w:val="009B7ACB"/>
    <w:rsid w:val="009C4730"/>
    <w:rsid w:val="009D00D1"/>
    <w:rsid w:val="009D03AE"/>
    <w:rsid w:val="009D22A1"/>
    <w:rsid w:val="009D5646"/>
    <w:rsid w:val="009D5B5B"/>
    <w:rsid w:val="009E378C"/>
    <w:rsid w:val="009E46F2"/>
    <w:rsid w:val="009F0A81"/>
    <w:rsid w:val="009F530F"/>
    <w:rsid w:val="00A06C04"/>
    <w:rsid w:val="00A100E7"/>
    <w:rsid w:val="00A10754"/>
    <w:rsid w:val="00A1160F"/>
    <w:rsid w:val="00A14CFB"/>
    <w:rsid w:val="00A31047"/>
    <w:rsid w:val="00A311CA"/>
    <w:rsid w:val="00A34E86"/>
    <w:rsid w:val="00A35BE5"/>
    <w:rsid w:val="00A40314"/>
    <w:rsid w:val="00A438D8"/>
    <w:rsid w:val="00A4408C"/>
    <w:rsid w:val="00A50897"/>
    <w:rsid w:val="00A551B3"/>
    <w:rsid w:val="00A56D7C"/>
    <w:rsid w:val="00A74E90"/>
    <w:rsid w:val="00A8455C"/>
    <w:rsid w:val="00A87E8F"/>
    <w:rsid w:val="00A96459"/>
    <w:rsid w:val="00AA1C57"/>
    <w:rsid w:val="00AA6211"/>
    <w:rsid w:val="00AA7D08"/>
    <w:rsid w:val="00AD43A9"/>
    <w:rsid w:val="00AE0DB2"/>
    <w:rsid w:val="00AE7861"/>
    <w:rsid w:val="00AF1EDF"/>
    <w:rsid w:val="00AF6DE5"/>
    <w:rsid w:val="00B0350A"/>
    <w:rsid w:val="00B06C63"/>
    <w:rsid w:val="00B10AAE"/>
    <w:rsid w:val="00B27C56"/>
    <w:rsid w:val="00B27E1A"/>
    <w:rsid w:val="00B34685"/>
    <w:rsid w:val="00B430BD"/>
    <w:rsid w:val="00B45EB0"/>
    <w:rsid w:val="00B470BD"/>
    <w:rsid w:val="00B504FF"/>
    <w:rsid w:val="00B5195F"/>
    <w:rsid w:val="00B554A4"/>
    <w:rsid w:val="00B62AEC"/>
    <w:rsid w:val="00B7481D"/>
    <w:rsid w:val="00B76DA1"/>
    <w:rsid w:val="00B77DF0"/>
    <w:rsid w:val="00B83115"/>
    <w:rsid w:val="00B86A51"/>
    <w:rsid w:val="00B86B23"/>
    <w:rsid w:val="00B91541"/>
    <w:rsid w:val="00B92F63"/>
    <w:rsid w:val="00B93387"/>
    <w:rsid w:val="00BA7DA6"/>
    <w:rsid w:val="00BB16AC"/>
    <w:rsid w:val="00BB5891"/>
    <w:rsid w:val="00BB74B8"/>
    <w:rsid w:val="00BD50E9"/>
    <w:rsid w:val="00BD79D3"/>
    <w:rsid w:val="00BE1537"/>
    <w:rsid w:val="00BF104E"/>
    <w:rsid w:val="00BF4ED9"/>
    <w:rsid w:val="00C04CB6"/>
    <w:rsid w:val="00C0546B"/>
    <w:rsid w:val="00C15AF9"/>
    <w:rsid w:val="00C17151"/>
    <w:rsid w:val="00C43AD6"/>
    <w:rsid w:val="00C44080"/>
    <w:rsid w:val="00C514B6"/>
    <w:rsid w:val="00C52440"/>
    <w:rsid w:val="00C5612B"/>
    <w:rsid w:val="00C57D42"/>
    <w:rsid w:val="00C602B0"/>
    <w:rsid w:val="00C63353"/>
    <w:rsid w:val="00C7064C"/>
    <w:rsid w:val="00C73713"/>
    <w:rsid w:val="00C747C5"/>
    <w:rsid w:val="00C92F1D"/>
    <w:rsid w:val="00C930C6"/>
    <w:rsid w:val="00CA4EE9"/>
    <w:rsid w:val="00CA558B"/>
    <w:rsid w:val="00CA5F65"/>
    <w:rsid w:val="00CA6322"/>
    <w:rsid w:val="00CB398B"/>
    <w:rsid w:val="00CB5CE6"/>
    <w:rsid w:val="00CC0F0B"/>
    <w:rsid w:val="00CC1DBC"/>
    <w:rsid w:val="00CC3B26"/>
    <w:rsid w:val="00CC7655"/>
    <w:rsid w:val="00CF388F"/>
    <w:rsid w:val="00CF746C"/>
    <w:rsid w:val="00D105D2"/>
    <w:rsid w:val="00D13D28"/>
    <w:rsid w:val="00D20EF0"/>
    <w:rsid w:val="00D258E3"/>
    <w:rsid w:val="00D3089E"/>
    <w:rsid w:val="00D362B9"/>
    <w:rsid w:val="00D50513"/>
    <w:rsid w:val="00D52CC0"/>
    <w:rsid w:val="00D75D2A"/>
    <w:rsid w:val="00D7783A"/>
    <w:rsid w:val="00D77C17"/>
    <w:rsid w:val="00D77FB6"/>
    <w:rsid w:val="00D8055E"/>
    <w:rsid w:val="00D8104D"/>
    <w:rsid w:val="00D846AF"/>
    <w:rsid w:val="00D9066A"/>
    <w:rsid w:val="00D90D13"/>
    <w:rsid w:val="00D95F55"/>
    <w:rsid w:val="00D97418"/>
    <w:rsid w:val="00DA1AAB"/>
    <w:rsid w:val="00DA1D8F"/>
    <w:rsid w:val="00DA6CEC"/>
    <w:rsid w:val="00DB279A"/>
    <w:rsid w:val="00DB4C3E"/>
    <w:rsid w:val="00DC250C"/>
    <w:rsid w:val="00DC4104"/>
    <w:rsid w:val="00DC514A"/>
    <w:rsid w:val="00DD670D"/>
    <w:rsid w:val="00DD6C7A"/>
    <w:rsid w:val="00DE2ABE"/>
    <w:rsid w:val="00DE7312"/>
    <w:rsid w:val="00DF3214"/>
    <w:rsid w:val="00DF7C61"/>
    <w:rsid w:val="00E06352"/>
    <w:rsid w:val="00E133A5"/>
    <w:rsid w:val="00E13E9F"/>
    <w:rsid w:val="00E16CA2"/>
    <w:rsid w:val="00E20539"/>
    <w:rsid w:val="00E234CD"/>
    <w:rsid w:val="00E34CD4"/>
    <w:rsid w:val="00E35B91"/>
    <w:rsid w:val="00E45EC3"/>
    <w:rsid w:val="00E56524"/>
    <w:rsid w:val="00E565A4"/>
    <w:rsid w:val="00E62457"/>
    <w:rsid w:val="00E65644"/>
    <w:rsid w:val="00E7000D"/>
    <w:rsid w:val="00E71AB2"/>
    <w:rsid w:val="00E778BD"/>
    <w:rsid w:val="00E81E65"/>
    <w:rsid w:val="00E83126"/>
    <w:rsid w:val="00E84954"/>
    <w:rsid w:val="00E97390"/>
    <w:rsid w:val="00EA0034"/>
    <w:rsid w:val="00EA07C9"/>
    <w:rsid w:val="00EA11D2"/>
    <w:rsid w:val="00EA431F"/>
    <w:rsid w:val="00EB3CC1"/>
    <w:rsid w:val="00EC54FA"/>
    <w:rsid w:val="00EC799E"/>
    <w:rsid w:val="00ED160E"/>
    <w:rsid w:val="00ED1A56"/>
    <w:rsid w:val="00ED1F30"/>
    <w:rsid w:val="00F05B45"/>
    <w:rsid w:val="00F21259"/>
    <w:rsid w:val="00F337B7"/>
    <w:rsid w:val="00F356B8"/>
    <w:rsid w:val="00F45B00"/>
    <w:rsid w:val="00F47F6C"/>
    <w:rsid w:val="00F5214C"/>
    <w:rsid w:val="00F57DBA"/>
    <w:rsid w:val="00F700E1"/>
    <w:rsid w:val="00F70CCE"/>
    <w:rsid w:val="00F756E7"/>
    <w:rsid w:val="00F75DAF"/>
    <w:rsid w:val="00F93C66"/>
    <w:rsid w:val="00F94D40"/>
    <w:rsid w:val="00F973B7"/>
    <w:rsid w:val="00FB1EC8"/>
    <w:rsid w:val="00FB33CD"/>
    <w:rsid w:val="00FB42FA"/>
    <w:rsid w:val="00FB7C69"/>
    <w:rsid w:val="00FD1563"/>
    <w:rsid w:val="00FE1AB5"/>
    <w:rsid w:val="00FE304D"/>
    <w:rsid w:val="00FF361D"/>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FA390"/>
  <w15:docId w15:val="{F217F563-3CA7-41D8-B199-EFF245CC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2DE"/>
    <w:rPr>
      <w:sz w:val="24"/>
      <w:szCs w:val="24"/>
    </w:rPr>
  </w:style>
  <w:style w:type="paragraph" w:styleId="Heading1">
    <w:name w:val="heading 1"/>
    <w:basedOn w:val="Normal"/>
    <w:next w:val="Normal"/>
    <w:qFormat/>
    <w:rsid w:val="008842DE"/>
    <w:pPr>
      <w:keepNext/>
      <w:outlineLvl w:val="0"/>
    </w:pPr>
    <w:rPr>
      <w:b/>
      <w:bCs/>
      <w:u w:val="single"/>
    </w:rPr>
  </w:style>
  <w:style w:type="paragraph" w:styleId="Heading3">
    <w:name w:val="heading 3"/>
    <w:basedOn w:val="Normal"/>
    <w:next w:val="Normal"/>
    <w:link w:val="Heading3Char"/>
    <w:unhideWhenUsed/>
    <w:qFormat/>
    <w:rsid w:val="0055732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842DE"/>
    <w:pPr>
      <w:jc w:val="center"/>
    </w:pPr>
    <w:rPr>
      <w:rFonts w:ascii="Arial" w:hAnsi="Arial" w:cs="Arial"/>
      <w:b/>
      <w:bCs/>
      <w:i/>
      <w:iCs/>
    </w:rPr>
  </w:style>
  <w:style w:type="paragraph" w:styleId="ListParagraph">
    <w:name w:val="List Paragraph"/>
    <w:basedOn w:val="Normal"/>
    <w:uiPriority w:val="34"/>
    <w:qFormat/>
    <w:rsid w:val="0003515C"/>
    <w:pPr>
      <w:ind w:left="720"/>
      <w:contextualSpacing/>
    </w:pPr>
  </w:style>
  <w:style w:type="paragraph" w:styleId="BalloonText">
    <w:name w:val="Balloon Text"/>
    <w:basedOn w:val="Normal"/>
    <w:link w:val="BalloonTextChar"/>
    <w:rsid w:val="0008547B"/>
    <w:rPr>
      <w:rFonts w:ascii="Tahoma" w:hAnsi="Tahoma" w:cs="Tahoma"/>
      <w:sz w:val="16"/>
      <w:szCs w:val="16"/>
    </w:rPr>
  </w:style>
  <w:style w:type="character" w:customStyle="1" w:styleId="BalloonTextChar">
    <w:name w:val="Balloon Text Char"/>
    <w:basedOn w:val="DefaultParagraphFont"/>
    <w:link w:val="BalloonText"/>
    <w:rsid w:val="0008547B"/>
    <w:rPr>
      <w:rFonts w:ascii="Tahoma" w:hAnsi="Tahoma" w:cs="Tahoma"/>
      <w:sz w:val="16"/>
      <w:szCs w:val="16"/>
    </w:rPr>
  </w:style>
  <w:style w:type="character" w:styleId="Hyperlink">
    <w:name w:val="Hyperlink"/>
    <w:basedOn w:val="DefaultParagraphFont"/>
    <w:unhideWhenUsed/>
    <w:rsid w:val="00E45EC3"/>
    <w:rPr>
      <w:color w:val="0000FF" w:themeColor="hyperlink"/>
      <w:u w:val="single"/>
    </w:rPr>
  </w:style>
  <w:style w:type="character" w:styleId="UnresolvedMention">
    <w:name w:val="Unresolved Mention"/>
    <w:basedOn w:val="DefaultParagraphFont"/>
    <w:uiPriority w:val="99"/>
    <w:semiHidden/>
    <w:unhideWhenUsed/>
    <w:rsid w:val="00E45EC3"/>
    <w:rPr>
      <w:color w:val="605E5C"/>
      <w:shd w:val="clear" w:color="auto" w:fill="E1DFDD"/>
    </w:rPr>
  </w:style>
  <w:style w:type="paragraph" w:styleId="NormalWeb">
    <w:name w:val="Normal (Web)"/>
    <w:basedOn w:val="Normal"/>
    <w:uiPriority w:val="99"/>
    <w:unhideWhenUsed/>
    <w:rsid w:val="006B7653"/>
    <w:pPr>
      <w:spacing w:before="100" w:beforeAutospacing="1" w:after="100" w:afterAutospacing="1"/>
    </w:pPr>
  </w:style>
  <w:style w:type="character" w:styleId="Strong">
    <w:name w:val="Strong"/>
    <w:basedOn w:val="DefaultParagraphFont"/>
    <w:uiPriority w:val="22"/>
    <w:qFormat/>
    <w:rsid w:val="006B7653"/>
    <w:rPr>
      <w:b/>
      <w:bCs/>
    </w:rPr>
  </w:style>
  <w:style w:type="character" w:customStyle="1" w:styleId="Heading3Char">
    <w:name w:val="Heading 3 Char"/>
    <w:basedOn w:val="DefaultParagraphFont"/>
    <w:link w:val="Heading3"/>
    <w:rsid w:val="0055732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6469">
      <w:bodyDiv w:val="1"/>
      <w:marLeft w:val="0"/>
      <w:marRight w:val="0"/>
      <w:marTop w:val="0"/>
      <w:marBottom w:val="0"/>
      <w:divBdr>
        <w:top w:val="none" w:sz="0" w:space="0" w:color="auto"/>
        <w:left w:val="none" w:sz="0" w:space="0" w:color="auto"/>
        <w:bottom w:val="none" w:sz="0" w:space="0" w:color="auto"/>
        <w:right w:val="none" w:sz="0" w:space="0" w:color="auto"/>
      </w:divBdr>
    </w:div>
    <w:div w:id="67457046">
      <w:bodyDiv w:val="1"/>
      <w:marLeft w:val="0"/>
      <w:marRight w:val="0"/>
      <w:marTop w:val="0"/>
      <w:marBottom w:val="0"/>
      <w:divBdr>
        <w:top w:val="none" w:sz="0" w:space="0" w:color="auto"/>
        <w:left w:val="none" w:sz="0" w:space="0" w:color="auto"/>
        <w:bottom w:val="none" w:sz="0" w:space="0" w:color="auto"/>
        <w:right w:val="none" w:sz="0" w:space="0" w:color="auto"/>
      </w:divBdr>
    </w:div>
    <w:div w:id="87891940">
      <w:bodyDiv w:val="1"/>
      <w:marLeft w:val="0"/>
      <w:marRight w:val="0"/>
      <w:marTop w:val="0"/>
      <w:marBottom w:val="0"/>
      <w:divBdr>
        <w:top w:val="none" w:sz="0" w:space="0" w:color="auto"/>
        <w:left w:val="none" w:sz="0" w:space="0" w:color="auto"/>
        <w:bottom w:val="none" w:sz="0" w:space="0" w:color="auto"/>
        <w:right w:val="none" w:sz="0" w:space="0" w:color="auto"/>
      </w:divBdr>
    </w:div>
    <w:div w:id="120077022">
      <w:bodyDiv w:val="1"/>
      <w:marLeft w:val="0"/>
      <w:marRight w:val="0"/>
      <w:marTop w:val="0"/>
      <w:marBottom w:val="0"/>
      <w:divBdr>
        <w:top w:val="none" w:sz="0" w:space="0" w:color="auto"/>
        <w:left w:val="none" w:sz="0" w:space="0" w:color="auto"/>
        <w:bottom w:val="none" w:sz="0" w:space="0" w:color="auto"/>
        <w:right w:val="none" w:sz="0" w:space="0" w:color="auto"/>
      </w:divBdr>
    </w:div>
    <w:div w:id="127750223">
      <w:bodyDiv w:val="1"/>
      <w:marLeft w:val="0"/>
      <w:marRight w:val="0"/>
      <w:marTop w:val="0"/>
      <w:marBottom w:val="0"/>
      <w:divBdr>
        <w:top w:val="none" w:sz="0" w:space="0" w:color="auto"/>
        <w:left w:val="none" w:sz="0" w:space="0" w:color="auto"/>
        <w:bottom w:val="none" w:sz="0" w:space="0" w:color="auto"/>
        <w:right w:val="none" w:sz="0" w:space="0" w:color="auto"/>
      </w:divBdr>
    </w:div>
    <w:div w:id="134572852">
      <w:bodyDiv w:val="1"/>
      <w:marLeft w:val="0"/>
      <w:marRight w:val="0"/>
      <w:marTop w:val="0"/>
      <w:marBottom w:val="0"/>
      <w:divBdr>
        <w:top w:val="none" w:sz="0" w:space="0" w:color="auto"/>
        <w:left w:val="none" w:sz="0" w:space="0" w:color="auto"/>
        <w:bottom w:val="none" w:sz="0" w:space="0" w:color="auto"/>
        <w:right w:val="none" w:sz="0" w:space="0" w:color="auto"/>
      </w:divBdr>
    </w:div>
    <w:div w:id="151411939">
      <w:bodyDiv w:val="1"/>
      <w:marLeft w:val="0"/>
      <w:marRight w:val="0"/>
      <w:marTop w:val="0"/>
      <w:marBottom w:val="0"/>
      <w:divBdr>
        <w:top w:val="none" w:sz="0" w:space="0" w:color="auto"/>
        <w:left w:val="none" w:sz="0" w:space="0" w:color="auto"/>
        <w:bottom w:val="none" w:sz="0" w:space="0" w:color="auto"/>
        <w:right w:val="none" w:sz="0" w:space="0" w:color="auto"/>
      </w:divBdr>
    </w:div>
    <w:div w:id="157112938">
      <w:bodyDiv w:val="1"/>
      <w:marLeft w:val="0"/>
      <w:marRight w:val="0"/>
      <w:marTop w:val="0"/>
      <w:marBottom w:val="0"/>
      <w:divBdr>
        <w:top w:val="none" w:sz="0" w:space="0" w:color="auto"/>
        <w:left w:val="none" w:sz="0" w:space="0" w:color="auto"/>
        <w:bottom w:val="none" w:sz="0" w:space="0" w:color="auto"/>
        <w:right w:val="none" w:sz="0" w:space="0" w:color="auto"/>
      </w:divBdr>
    </w:div>
    <w:div w:id="230627561">
      <w:bodyDiv w:val="1"/>
      <w:marLeft w:val="0"/>
      <w:marRight w:val="0"/>
      <w:marTop w:val="0"/>
      <w:marBottom w:val="0"/>
      <w:divBdr>
        <w:top w:val="none" w:sz="0" w:space="0" w:color="auto"/>
        <w:left w:val="none" w:sz="0" w:space="0" w:color="auto"/>
        <w:bottom w:val="none" w:sz="0" w:space="0" w:color="auto"/>
        <w:right w:val="none" w:sz="0" w:space="0" w:color="auto"/>
      </w:divBdr>
    </w:div>
    <w:div w:id="248581262">
      <w:bodyDiv w:val="1"/>
      <w:marLeft w:val="0"/>
      <w:marRight w:val="0"/>
      <w:marTop w:val="0"/>
      <w:marBottom w:val="0"/>
      <w:divBdr>
        <w:top w:val="none" w:sz="0" w:space="0" w:color="auto"/>
        <w:left w:val="none" w:sz="0" w:space="0" w:color="auto"/>
        <w:bottom w:val="none" w:sz="0" w:space="0" w:color="auto"/>
        <w:right w:val="none" w:sz="0" w:space="0" w:color="auto"/>
      </w:divBdr>
    </w:div>
    <w:div w:id="258804069">
      <w:bodyDiv w:val="1"/>
      <w:marLeft w:val="0"/>
      <w:marRight w:val="0"/>
      <w:marTop w:val="0"/>
      <w:marBottom w:val="0"/>
      <w:divBdr>
        <w:top w:val="none" w:sz="0" w:space="0" w:color="auto"/>
        <w:left w:val="none" w:sz="0" w:space="0" w:color="auto"/>
        <w:bottom w:val="none" w:sz="0" w:space="0" w:color="auto"/>
        <w:right w:val="none" w:sz="0" w:space="0" w:color="auto"/>
      </w:divBdr>
    </w:div>
    <w:div w:id="273710329">
      <w:bodyDiv w:val="1"/>
      <w:marLeft w:val="0"/>
      <w:marRight w:val="0"/>
      <w:marTop w:val="0"/>
      <w:marBottom w:val="0"/>
      <w:divBdr>
        <w:top w:val="none" w:sz="0" w:space="0" w:color="auto"/>
        <w:left w:val="none" w:sz="0" w:space="0" w:color="auto"/>
        <w:bottom w:val="none" w:sz="0" w:space="0" w:color="auto"/>
        <w:right w:val="none" w:sz="0" w:space="0" w:color="auto"/>
      </w:divBdr>
    </w:div>
    <w:div w:id="288319889">
      <w:bodyDiv w:val="1"/>
      <w:marLeft w:val="0"/>
      <w:marRight w:val="0"/>
      <w:marTop w:val="0"/>
      <w:marBottom w:val="0"/>
      <w:divBdr>
        <w:top w:val="none" w:sz="0" w:space="0" w:color="auto"/>
        <w:left w:val="none" w:sz="0" w:space="0" w:color="auto"/>
        <w:bottom w:val="none" w:sz="0" w:space="0" w:color="auto"/>
        <w:right w:val="none" w:sz="0" w:space="0" w:color="auto"/>
      </w:divBdr>
    </w:div>
    <w:div w:id="345911487">
      <w:bodyDiv w:val="1"/>
      <w:marLeft w:val="0"/>
      <w:marRight w:val="0"/>
      <w:marTop w:val="0"/>
      <w:marBottom w:val="0"/>
      <w:divBdr>
        <w:top w:val="none" w:sz="0" w:space="0" w:color="auto"/>
        <w:left w:val="none" w:sz="0" w:space="0" w:color="auto"/>
        <w:bottom w:val="none" w:sz="0" w:space="0" w:color="auto"/>
        <w:right w:val="none" w:sz="0" w:space="0" w:color="auto"/>
      </w:divBdr>
    </w:div>
    <w:div w:id="361130901">
      <w:bodyDiv w:val="1"/>
      <w:marLeft w:val="0"/>
      <w:marRight w:val="0"/>
      <w:marTop w:val="0"/>
      <w:marBottom w:val="0"/>
      <w:divBdr>
        <w:top w:val="none" w:sz="0" w:space="0" w:color="auto"/>
        <w:left w:val="none" w:sz="0" w:space="0" w:color="auto"/>
        <w:bottom w:val="none" w:sz="0" w:space="0" w:color="auto"/>
        <w:right w:val="none" w:sz="0" w:space="0" w:color="auto"/>
      </w:divBdr>
    </w:div>
    <w:div w:id="384067252">
      <w:bodyDiv w:val="1"/>
      <w:marLeft w:val="0"/>
      <w:marRight w:val="0"/>
      <w:marTop w:val="0"/>
      <w:marBottom w:val="0"/>
      <w:divBdr>
        <w:top w:val="none" w:sz="0" w:space="0" w:color="auto"/>
        <w:left w:val="none" w:sz="0" w:space="0" w:color="auto"/>
        <w:bottom w:val="none" w:sz="0" w:space="0" w:color="auto"/>
        <w:right w:val="none" w:sz="0" w:space="0" w:color="auto"/>
      </w:divBdr>
    </w:div>
    <w:div w:id="400837593">
      <w:bodyDiv w:val="1"/>
      <w:marLeft w:val="0"/>
      <w:marRight w:val="0"/>
      <w:marTop w:val="0"/>
      <w:marBottom w:val="0"/>
      <w:divBdr>
        <w:top w:val="none" w:sz="0" w:space="0" w:color="auto"/>
        <w:left w:val="none" w:sz="0" w:space="0" w:color="auto"/>
        <w:bottom w:val="none" w:sz="0" w:space="0" w:color="auto"/>
        <w:right w:val="none" w:sz="0" w:space="0" w:color="auto"/>
      </w:divBdr>
    </w:div>
    <w:div w:id="412167025">
      <w:bodyDiv w:val="1"/>
      <w:marLeft w:val="0"/>
      <w:marRight w:val="0"/>
      <w:marTop w:val="0"/>
      <w:marBottom w:val="0"/>
      <w:divBdr>
        <w:top w:val="none" w:sz="0" w:space="0" w:color="auto"/>
        <w:left w:val="none" w:sz="0" w:space="0" w:color="auto"/>
        <w:bottom w:val="none" w:sz="0" w:space="0" w:color="auto"/>
        <w:right w:val="none" w:sz="0" w:space="0" w:color="auto"/>
      </w:divBdr>
    </w:div>
    <w:div w:id="417870448">
      <w:bodyDiv w:val="1"/>
      <w:marLeft w:val="0"/>
      <w:marRight w:val="0"/>
      <w:marTop w:val="0"/>
      <w:marBottom w:val="0"/>
      <w:divBdr>
        <w:top w:val="none" w:sz="0" w:space="0" w:color="auto"/>
        <w:left w:val="none" w:sz="0" w:space="0" w:color="auto"/>
        <w:bottom w:val="none" w:sz="0" w:space="0" w:color="auto"/>
        <w:right w:val="none" w:sz="0" w:space="0" w:color="auto"/>
      </w:divBdr>
    </w:div>
    <w:div w:id="420762992">
      <w:bodyDiv w:val="1"/>
      <w:marLeft w:val="0"/>
      <w:marRight w:val="0"/>
      <w:marTop w:val="0"/>
      <w:marBottom w:val="0"/>
      <w:divBdr>
        <w:top w:val="none" w:sz="0" w:space="0" w:color="auto"/>
        <w:left w:val="none" w:sz="0" w:space="0" w:color="auto"/>
        <w:bottom w:val="none" w:sz="0" w:space="0" w:color="auto"/>
        <w:right w:val="none" w:sz="0" w:space="0" w:color="auto"/>
      </w:divBdr>
    </w:div>
    <w:div w:id="444931986">
      <w:bodyDiv w:val="1"/>
      <w:marLeft w:val="0"/>
      <w:marRight w:val="0"/>
      <w:marTop w:val="0"/>
      <w:marBottom w:val="0"/>
      <w:divBdr>
        <w:top w:val="none" w:sz="0" w:space="0" w:color="auto"/>
        <w:left w:val="none" w:sz="0" w:space="0" w:color="auto"/>
        <w:bottom w:val="none" w:sz="0" w:space="0" w:color="auto"/>
        <w:right w:val="none" w:sz="0" w:space="0" w:color="auto"/>
      </w:divBdr>
    </w:div>
    <w:div w:id="474881546">
      <w:bodyDiv w:val="1"/>
      <w:marLeft w:val="0"/>
      <w:marRight w:val="0"/>
      <w:marTop w:val="0"/>
      <w:marBottom w:val="0"/>
      <w:divBdr>
        <w:top w:val="none" w:sz="0" w:space="0" w:color="auto"/>
        <w:left w:val="none" w:sz="0" w:space="0" w:color="auto"/>
        <w:bottom w:val="none" w:sz="0" w:space="0" w:color="auto"/>
        <w:right w:val="none" w:sz="0" w:space="0" w:color="auto"/>
      </w:divBdr>
    </w:div>
    <w:div w:id="513612353">
      <w:bodyDiv w:val="1"/>
      <w:marLeft w:val="0"/>
      <w:marRight w:val="0"/>
      <w:marTop w:val="0"/>
      <w:marBottom w:val="0"/>
      <w:divBdr>
        <w:top w:val="none" w:sz="0" w:space="0" w:color="auto"/>
        <w:left w:val="none" w:sz="0" w:space="0" w:color="auto"/>
        <w:bottom w:val="none" w:sz="0" w:space="0" w:color="auto"/>
        <w:right w:val="none" w:sz="0" w:space="0" w:color="auto"/>
      </w:divBdr>
    </w:div>
    <w:div w:id="569972199">
      <w:bodyDiv w:val="1"/>
      <w:marLeft w:val="0"/>
      <w:marRight w:val="0"/>
      <w:marTop w:val="0"/>
      <w:marBottom w:val="0"/>
      <w:divBdr>
        <w:top w:val="none" w:sz="0" w:space="0" w:color="auto"/>
        <w:left w:val="none" w:sz="0" w:space="0" w:color="auto"/>
        <w:bottom w:val="none" w:sz="0" w:space="0" w:color="auto"/>
        <w:right w:val="none" w:sz="0" w:space="0" w:color="auto"/>
      </w:divBdr>
    </w:div>
    <w:div w:id="613563540">
      <w:bodyDiv w:val="1"/>
      <w:marLeft w:val="0"/>
      <w:marRight w:val="0"/>
      <w:marTop w:val="0"/>
      <w:marBottom w:val="0"/>
      <w:divBdr>
        <w:top w:val="none" w:sz="0" w:space="0" w:color="auto"/>
        <w:left w:val="none" w:sz="0" w:space="0" w:color="auto"/>
        <w:bottom w:val="none" w:sz="0" w:space="0" w:color="auto"/>
        <w:right w:val="none" w:sz="0" w:space="0" w:color="auto"/>
      </w:divBdr>
    </w:div>
    <w:div w:id="649334758">
      <w:bodyDiv w:val="1"/>
      <w:marLeft w:val="0"/>
      <w:marRight w:val="0"/>
      <w:marTop w:val="0"/>
      <w:marBottom w:val="0"/>
      <w:divBdr>
        <w:top w:val="none" w:sz="0" w:space="0" w:color="auto"/>
        <w:left w:val="none" w:sz="0" w:space="0" w:color="auto"/>
        <w:bottom w:val="none" w:sz="0" w:space="0" w:color="auto"/>
        <w:right w:val="none" w:sz="0" w:space="0" w:color="auto"/>
      </w:divBdr>
    </w:div>
    <w:div w:id="678580715">
      <w:bodyDiv w:val="1"/>
      <w:marLeft w:val="0"/>
      <w:marRight w:val="0"/>
      <w:marTop w:val="0"/>
      <w:marBottom w:val="0"/>
      <w:divBdr>
        <w:top w:val="none" w:sz="0" w:space="0" w:color="auto"/>
        <w:left w:val="none" w:sz="0" w:space="0" w:color="auto"/>
        <w:bottom w:val="none" w:sz="0" w:space="0" w:color="auto"/>
        <w:right w:val="none" w:sz="0" w:space="0" w:color="auto"/>
      </w:divBdr>
    </w:div>
    <w:div w:id="682897673">
      <w:bodyDiv w:val="1"/>
      <w:marLeft w:val="0"/>
      <w:marRight w:val="0"/>
      <w:marTop w:val="0"/>
      <w:marBottom w:val="0"/>
      <w:divBdr>
        <w:top w:val="none" w:sz="0" w:space="0" w:color="auto"/>
        <w:left w:val="none" w:sz="0" w:space="0" w:color="auto"/>
        <w:bottom w:val="none" w:sz="0" w:space="0" w:color="auto"/>
        <w:right w:val="none" w:sz="0" w:space="0" w:color="auto"/>
      </w:divBdr>
    </w:div>
    <w:div w:id="714082667">
      <w:bodyDiv w:val="1"/>
      <w:marLeft w:val="0"/>
      <w:marRight w:val="0"/>
      <w:marTop w:val="0"/>
      <w:marBottom w:val="0"/>
      <w:divBdr>
        <w:top w:val="none" w:sz="0" w:space="0" w:color="auto"/>
        <w:left w:val="none" w:sz="0" w:space="0" w:color="auto"/>
        <w:bottom w:val="none" w:sz="0" w:space="0" w:color="auto"/>
        <w:right w:val="none" w:sz="0" w:space="0" w:color="auto"/>
      </w:divBdr>
    </w:div>
    <w:div w:id="785465643">
      <w:bodyDiv w:val="1"/>
      <w:marLeft w:val="0"/>
      <w:marRight w:val="0"/>
      <w:marTop w:val="0"/>
      <w:marBottom w:val="0"/>
      <w:divBdr>
        <w:top w:val="none" w:sz="0" w:space="0" w:color="auto"/>
        <w:left w:val="none" w:sz="0" w:space="0" w:color="auto"/>
        <w:bottom w:val="none" w:sz="0" w:space="0" w:color="auto"/>
        <w:right w:val="none" w:sz="0" w:space="0" w:color="auto"/>
      </w:divBdr>
    </w:div>
    <w:div w:id="802579905">
      <w:bodyDiv w:val="1"/>
      <w:marLeft w:val="0"/>
      <w:marRight w:val="0"/>
      <w:marTop w:val="0"/>
      <w:marBottom w:val="0"/>
      <w:divBdr>
        <w:top w:val="none" w:sz="0" w:space="0" w:color="auto"/>
        <w:left w:val="none" w:sz="0" w:space="0" w:color="auto"/>
        <w:bottom w:val="none" w:sz="0" w:space="0" w:color="auto"/>
        <w:right w:val="none" w:sz="0" w:space="0" w:color="auto"/>
      </w:divBdr>
    </w:div>
    <w:div w:id="821309545">
      <w:bodyDiv w:val="1"/>
      <w:marLeft w:val="0"/>
      <w:marRight w:val="0"/>
      <w:marTop w:val="0"/>
      <w:marBottom w:val="0"/>
      <w:divBdr>
        <w:top w:val="none" w:sz="0" w:space="0" w:color="auto"/>
        <w:left w:val="none" w:sz="0" w:space="0" w:color="auto"/>
        <w:bottom w:val="none" w:sz="0" w:space="0" w:color="auto"/>
        <w:right w:val="none" w:sz="0" w:space="0" w:color="auto"/>
      </w:divBdr>
    </w:div>
    <w:div w:id="868686437">
      <w:bodyDiv w:val="1"/>
      <w:marLeft w:val="0"/>
      <w:marRight w:val="0"/>
      <w:marTop w:val="0"/>
      <w:marBottom w:val="0"/>
      <w:divBdr>
        <w:top w:val="none" w:sz="0" w:space="0" w:color="auto"/>
        <w:left w:val="none" w:sz="0" w:space="0" w:color="auto"/>
        <w:bottom w:val="none" w:sz="0" w:space="0" w:color="auto"/>
        <w:right w:val="none" w:sz="0" w:space="0" w:color="auto"/>
      </w:divBdr>
    </w:div>
    <w:div w:id="881943669">
      <w:bodyDiv w:val="1"/>
      <w:marLeft w:val="0"/>
      <w:marRight w:val="0"/>
      <w:marTop w:val="0"/>
      <w:marBottom w:val="0"/>
      <w:divBdr>
        <w:top w:val="none" w:sz="0" w:space="0" w:color="auto"/>
        <w:left w:val="none" w:sz="0" w:space="0" w:color="auto"/>
        <w:bottom w:val="none" w:sz="0" w:space="0" w:color="auto"/>
        <w:right w:val="none" w:sz="0" w:space="0" w:color="auto"/>
      </w:divBdr>
    </w:div>
    <w:div w:id="885412388">
      <w:bodyDiv w:val="1"/>
      <w:marLeft w:val="0"/>
      <w:marRight w:val="0"/>
      <w:marTop w:val="0"/>
      <w:marBottom w:val="0"/>
      <w:divBdr>
        <w:top w:val="none" w:sz="0" w:space="0" w:color="auto"/>
        <w:left w:val="none" w:sz="0" w:space="0" w:color="auto"/>
        <w:bottom w:val="none" w:sz="0" w:space="0" w:color="auto"/>
        <w:right w:val="none" w:sz="0" w:space="0" w:color="auto"/>
      </w:divBdr>
    </w:div>
    <w:div w:id="908004388">
      <w:bodyDiv w:val="1"/>
      <w:marLeft w:val="0"/>
      <w:marRight w:val="0"/>
      <w:marTop w:val="0"/>
      <w:marBottom w:val="0"/>
      <w:divBdr>
        <w:top w:val="none" w:sz="0" w:space="0" w:color="auto"/>
        <w:left w:val="none" w:sz="0" w:space="0" w:color="auto"/>
        <w:bottom w:val="none" w:sz="0" w:space="0" w:color="auto"/>
        <w:right w:val="none" w:sz="0" w:space="0" w:color="auto"/>
      </w:divBdr>
    </w:div>
    <w:div w:id="924265073">
      <w:bodyDiv w:val="1"/>
      <w:marLeft w:val="0"/>
      <w:marRight w:val="0"/>
      <w:marTop w:val="0"/>
      <w:marBottom w:val="0"/>
      <w:divBdr>
        <w:top w:val="none" w:sz="0" w:space="0" w:color="auto"/>
        <w:left w:val="none" w:sz="0" w:space="0" w:color="auto"/>
        <w:bottom w:val="none" w:sz="0" w:space="0" w:color="auto"/>
        <w:right w:val="none" w:sz="0" w:space="0" w:color="auto"/>
      </w:divBdr>
    </w:div>
    <w:div w:id="974218854">
      <w:bodyDiv w:val="1"/>
      <w:marLeft w:val="0"/>
      <w:marRight w:val="0"/>
      <w:marTop w:val="0"/>
      <w:marBottom w:val="0"/>
      <w:divBdr>
        <w:top w:val="none" w:sz="0" w:space="0" w:color="auto"/>
        <w:left w:val="none" w:sz="0" w:space="0" w:color="auto"/>
        <w:bottom w:val="none" w:sz="0" w:space="0" w:color="auto"/>
        <w:right w:val="none" w:sz="0" w:space="0" w:color="auto"/>
      </w:divBdr>
    </w:div>
    <w:div w:id="981274229">
      <w:bodyDiv w:val="1"/>
      <w:marLeft w:val="0"/>
      <w:marRight w:val="0"/>
      <w:marTop w:val="0"/>
      <w:marBottom w:val="0"/>
      <w:divBdr>
        <w:top w:val="none" w:sz="0" w:space="0" w:color="auto"/>
        <w:left w:val="none" w:sz="0" w:space="0" w:color="auto"/>
        <w:bottom w:val="none" w:sz="0" w:space="0" w:color="auto"/>
        <w:right w:val="none" w:sz="0" w:space="0" w:color="auto"/>
      </w:divBdr>
    </w:div>
    <w:div w:id="1000086719">
      <w:bodyDiv w:val="1"/>
      <w:marLeft w:val="0"/>
      <w:marRight w:val="0"/>
      <w:marTop w:val="0"/>
      <w:marBottom w:val="0"/>
      <w:divBdr>
        <w:top w:val="none" w:sz="0" w:space="0" w:color="auto"/>
        <w:left w:val="none" w:sz="0" w:space="0" w:color="auto"/>
        <w:bottom w:val="none" w:sz="0" w:space="0" w:color="auto"/>
        <w:right w:val="none" w:sz="0" w:space="0" w:color="auto"/>
      </w:divBdr>
    </w:div>
    <w:div w:id="1043094777">
      <w:bodyDiv w:val="1"/>
      <w:marLeft w:val="0"/>
      <w:marRight w:val="0"/>
      <w:marTop w:val="0"/>
      <w:marBottom w:val="0"/>
      <w:divBdr>
        <w:top w:val="none" w:sz="0" w:space="0" w:color="auto"/>
        <w:left w:val="none" w:sz="0" w:space="0" w:color="auto"/>
        <w:bottom w:val="none" w:sz="0" w:space="0" w:color="auto"/>
        <w:right w:val="none" w:sz="0" w:space="0" w:color="auto"/>
      </w:divBdr>
    </w:div>
    <w:div w:id="1074744071">
      <w:bodyDiv w:val="1"/>
      <w:marLeft w:val="0"/>
      <w:marRight w:val="0"/>
      <w:marTop w:val="0"/>
      <w:marBottom w:val="0"/>
      <w:divBdr>
        <w:top w:val="none" w:sz="0" w:space="0" w:color="auto"/>
        <w:left w:val="none" w:sz="0" w:space="0" w:color="auto"/>
        <w:bottom w:val="none" w:sz="0" w:space="0" w:color="auto"/>
        <w:right w:val="none" w:sz="0" w:space="0" w:color="auto"/>
      </w:divBdr>
    </w:div>
    <w:div w:id="1100107433">
      <w:bodyDiv w:val="1"/>
      <w:marLeft w:val="0"/>
      <w:marRight w:val="0"/>
      <w:marTop w:val="0"/>
      <w:marBottom w:val="0"/>
      <w:divBdr>
        <w:top w:val="none" w:sz="0" w:space="0" w:color="auto"/>
        <w:left w:val="none" w:sz="0" w:space="0" w:color="auto"/>
        <w:bottom w:val="none" w:sz="0" w:space="0" w:color="auto"/>
        <w:right w:val="none" w:sz="0" w:space="0" w:color="auto"/>
      </w:divBdr>
    </w:div>
    <w:div w:id="1127352000">
      <w:bodyDiv w:val="1"/>
      <w:marLeft w:val="0"/>
      <w:marRight w:val="0"/>
      <w:marTop w:val="0"/>
      <w:marBottom w:val="0"/>
      <w:divBdr>
        <w:top w:val="none" w:sz="0" w:space="0" w:color="auto"/>
        <w:left w:val="none" w:sz="0" w:space="0" w:color="auto"/>
        <w:bottom w:val="none" w:sz="0" w:space="0" w:color="auto"/>
        <w:right w:val="none" w:sz="0" w:space="0" w:color="auto"/>
      </w:divBdr>
    </w:div>
    <w:div w:id="1164510981">
      <w:bodyDiv w:val="1"/>
      <w:marLeft w:val="0"/>
      <w:marRight w:val="0"/>
      <w:marTop w:val="0"/>
      <w:marBottom w:val="0"/>
      <w:divBdr>
        <w:top w:val="none" w:sz="0" w:space="0" w:color="auto"/>
        <w:left w:val="none" w:sz="0" w:space="0" w:color="auto"/>
        <w:bottom w:val="none" w:sz="0" w:space="0" w:color="auto"/>
        <w:right w:val="none" w:sz="0" w:space="0" w:color="auto"/>
      </w:divBdr>
    </w:div>
    <w:div w:id="1185554241">
      <w:bodyDiv w:val="1"/>
      <w:marLeft w:val="0"/>
      <w:marRight w:val="0"/>
      <w:marTop w:val="0"/>
      <w:marBottom w:val="0"/>
      <w:divBdr>
        <w:top w:val="none" w:sz="0" w:space="0" w:color="auto"/>
        <w:left w:val="none" w:sz="0" w:space="0" w:color="auto"/>
        <w:bottom w:val="none" w:sz="0" w:space="0" w:color="auto"/>
        <w:right w:val="none" w:sz="0" w:space="0" w:color="auto"/>
      </w:divBdr>
    </w:div>
    <w:div w:id="1192105604">
      <w:bodyDiv w:val="1"/>
      <w:marLeft w:val="0"/>
      <w:marRight w:val="0"/>
      <w:marTop w:val="0"/>
      <w:marBottom w:val="0"/>
      <w:divBdr>
        <w:top w:val="none" w:sz="0" w:space="0" w:color="auto"/>
        <w:left w:val="none" w:sz="0" w:space="0" w:color="auto"/>
        <w:bottom w:val="none" w:sz="0" w:space="0" w:color="auto"/>
        <w:right w:val="none" w:sz="0" w:space="0" w:color="auto"/>
      </w:divBdr>
    </w:div>
    <w:div w:id="1203327409">
      <w:bodyDiv w:val="1"/>
      <w:marLeft w:val="0"/>
      <w:marRight w:val="0"/>
      <w:marTop w:val="0"/>
      <w:marBottom w:val="0"/>
      <w:divBdr>
        <w:top w:val="none" w:sz="0" w:space="0" w:color="auto"/>
        <w:left w:val="none" w:sz="0" w:space="0" w:color="auto"/>
        <w:bottom w:val="none" w:sz="0" w:space="0" w:color="auto"/>
        <w:right w:val="none" w:sz="0" w:space="0" w:color="auto"/>
      </w:divBdr>
    </w:div>
    <w:div w:id="1238898340">
      <w:bodyDiv w:val="1"/>
      <w:marLeft w:val="0"/>
      <w:marRight w:val="0"/>
      <w:marTop w:val="0"/>
      <w:marBottom w:val="0"/>
      <w:divBdr>
        <w:top w:val="none" w:sz="0" w:space="0" w:color="auto"/>
        <w:left w:val="none" w:sz="0" w:space="0" w:color="auto"/>
        <w:bottom w:val="none" w:sz="0" w:space="0" w:color="auto"/>
        <w:right w:val="none" w:sz="0" w:space="0" w:color="auto"/>
      </w:divBdr>
    </w:div>
    <w:div w:id="1249388686">
      <w:bodyDiv w:val="1"/>
      <w:marLeft w:val="0"/>
      <w:marRight w:val="0"/>
      <w:marTop w:val="0"/>
      <w:marBottom w:val="0"/>
      <w:divBdr>
        <w:top w:val="none" w:sz="0" w:space="0" w:color="auto"/>
        <w:left w:val="none" w:sz="0" w:space="0" w:color="auto"/>
        <w:bottom w:val="none" w:sz="0" w:space="0" w:color="auto"/>
        <w:right w:val="none" w:sz="0" w:space="0" w:color="auto"/>
      </w:divBdr>
    </w:div>
    <w:div w:id="1262840586">
      <w:bodyDiv w:val="1"/>
      <w:marLeft w:val="0"/>
      <w:marRight w:val="0"/>
      <w:marTop w:val="0"/>
      <w:marBottom w:val="0"/>
      <w:divBdr>
        <w:top w:val="none" w:sz="0" w:space="0" w:color="auto"/>
        <w:left w:val="none" w:sz="0" w:space="0" w:color="auto"/>
        <w:bottom w:val="none" w:sz="0" w:space="0" w:color="auto"/>
        <w:right w:val="none" w:sz="0" w:space="0" w:color="auto"/>
      </w:divBdr>
    </w:div>
    <w:div w:id="1416783588">
      <w:bodyDiv w:val="1"/>
      <w:marLeft w:val="0"/>
      <w:marRight w:val="0"/>
      <w:marTop w:val="0"/>
      <w:marBottom w:val="0"/>
      <w:divBdr>
        <w:top w:val="none" w:sz="0" w:space="0" w:color="auto"/>
        <w:left w:val="none" w:sz="0" w:space="0" w:color="auto"/>
        <w:bottom w:val="none" w:sz="0" w:space="0" w:color="auto"/>
        <w:right w:val="none" w:sz="0" w:space="0" w:color="auto"/>
      </w:divBdr>
    </w:div>
    <w:div w:id="1422752945">
      <w:bodyDiv w:val="1"/>
      <w:marLeft w:val="0"/>
      <w:marRight w:val="0"/>
      <w:marTop w:val="0"/>
      <w:marBottom w:val="0"/>
      <w:divBdr>
        <w:top w:val="none" w:sz="0" w:space="0" w:color="auto"/>
        <w:left w:val="none" w:sz="0" w:space="0" w:color="auto"/>
        <w:bottom w:val="none" w:sz="0" w:space="0" w:color="auto"/>
        <w:right w:val="none" w:sz="0" w:space="0" w:color="auto"/>
      </w:divBdr>
    </w:div>
    <w:div w:id="1431390732">
      <w:bodyDiv w:val="1"/>
      <w:marLeft w:val="0"/>
      <w:marRight w:val="0"/>
      <w:marTop w:val="0"/>
      <w:marBottom w:val="0"/>
      <w:divBdr>
        <w:top w:val="none" w:sz="0" w:space="0" w:color="auto"/>
        <w:left w:val="none" w:sz="0" w:space="0" w:color="auto"/>
        <w:bottom w:val="none" w:sz="0" w:space="0" w:color="auto"/>
        <w:right w:val="none" w:sz="0" w:space="0" w:color="auto"/>
      </w:divBdr>
    </w:div>
    <w:div w:id="1518690183">
      <w:bodyDiv w:val="1"/>
      <w:marLeft w:val="0"/>
      <w:marRight w:val="0"/>
      <w:marTop w:val="0"/>
      <w:marBottom w:val="0"/>
      <w:divBdr>
        <w:top w:val="none" w:sz="0" w:space="0" w:color="auto"/>
        <w:left w:val="none" w:sz="0" w:space="0" w:color="auto"/>
        <w:bottom w:val="none" w:sz="0" w:space="0" w:color="auto"/>
        <w:right w:val="none" w:sz="0" w:space="0" w:color="auto"/>
      </w:divBdr>
    </w:div>
    <w:div w:id="1638990833">
      <w:bodyDiv w:val="1"/>
      <w:marLeft w:val="0"/>
      <w:marRight w:val="0"/>
      <w:marTop w:val="0"/>
      <w:marBottom w:val="0"/>
      <w:divBdr>
        <w:top w:val="none" w:sz="0" w:space="0" w:color="auto"/>
        <w:left w:val="none" w:sz="0" w:space="0" w:color="auto"/>
        <w:bottom w:val="none" w:sz="0" w:space="0" w:color="auto"/>
        <w:right w:val="none" w:sz="0" w:space="0" w:color="auto"/>
      </w:divBdr>
    </w:div>
    <w:div w:id="1651203803">
      <w:bodyDiv w:val="1"/>
      <w:marLeft w:val="0"/>
      <w:marRight w:val="0"/>
      <w:marTop w:val="0"/>
      <w:marBottom w:val="0"/>
      <w:divBdr>
        <w:top w:val="none" w:sz="0" w:space="0" w:color="auto"/>
        <w:left w:val="none" w:sz="0" w:space="0" w:color="auto"/>
        <w:bottom w:val="none" w:sz="0" w:space="0" w:color="auto"/>
        <w:right w:val="none" w:sz="0" w:space="0" w:color="auto"/>
      </w:divBdr>
    </w:div>
    <w:div w:id="1669600828">
      <w:bodyDiv w:val="1"/>
      <w:marLeft w:val="0"/>
      <w:marRight w:val="0"/>
      <w:marTop w:val="0"/>
      <w:marBottom w:val="0"/>
      <w:divBdr>
        <w:top w:val="none" w:sz="0" w:space="0" w:color="auto"/>
        <w:left w:val="none" w:sz="0" w:space="0" w:color="auto"/>
        <w:bottom w:val="none" w:sz="0" w:space="0" w:color="auto"/>
        <w:right w:val="none" w:sz="0" w:space="0" w:color="auto"/>
      </w:divBdr>
    </w:div>
    <w:div w:id="1712457716">
      <w:bodyDiv w:val="1"/>
      <w:marLeft w:val="0"/>
      <w:marRight w:val="0"/>
      <w:marTop w:val="0"/>
      <w:marBottom w:val="0"/>
      <w:divBdr>
        <w:top w:val="none" w:sz="0" w:space="0" w:color="auto"/>
        <w:left w:val="none" w:sz="0" w:space="0" w:color="auto"/>
        <w:bottom w:val="none" w:sz="0" w:space="0" w:color="auto"/>
        <w:right w:val="none" w:sz="0" w:space="0" w:color="auto"/>
      </w:divBdr>
    </w:div>
    <w:div w:id="1740591017">
      <w:bodyDiv w:val="1"/>
      <w:marLeft w:val="0"/>
      <w:marRight w:val="0"/>
      <w:marTop w:val="0"/>
      <w:marBottom w:val="0"/>
      <w:divBdr>
        <w:top w:val="none" w:sz="0" w:space="0" w:color="auto"/>
        <w:left w:val="none" w:sz="0" w:space="0" w:color="auto"/>
        <w:bottom w:val="none" w:sz="0" w:space="0" w:color="auto"/>
        <w:right w:val="none" w:sz="0" w:space="0" w:color="auto"/>
      </w:divBdr>
    </w:div>
    <w:div w:id="1746536847">
      <w:bodyDiv w:val="1"/>
      <w:marLeft w:val="0"/>
      <w:marRight w:val="0"/>
      <w:marTop w:val="0"/>
      <w:marBottom w:val="0"/>
      <w:divBdr>
        <w:top w:val="none" w:sz="0" w:space="0" w:color="auto"/>
        <w:left w:val="none" w:sz="0" w:space="0" w:color="auto"/>
        <w:bottom w:val="none" w:sz="0" w:space="0" w:color="auto"/>
        <w:right w:val="none" w:sz="0" w:space="0" w:color="auto"/>
      </w:divBdr>
    </w:div>
    <w:div w:id="1786388318">
      <w:bodyDiv w:val="1"/>
      <w:marLeft w:val="0"/>
      <w:marRight w:val="0"/>
      <w:marTop w:val="0"/>
      <w:marBottom w:val="0"/>
      <w:divBdr>
        <w:top w:val="none" w:sz="0" w:space="0" w:color="auto"/>
        <w:left w:val="none" w:sz="0" w:space="0" w:color="auto"/>
        <w:bottom w:val="none" w:sz="0" w:space="0" w:color="auto"/>
        <w:right w:val="none" w:sz="0" w:space="0" w:color="auto"/>
      </w:divBdr>
    </w:div>
    <w:div w:id="1797605882">
      <w:bodyDiv w:val="1"/>
      <w:marLeft w:val="0"/>
      <w:marRight w:val="0"/>
      <w:marTop w:val="0"/>
      <w:marBottom w:val="0"/>
      <w:divBdr>
        <w:top w:val="none" w:sz="0" w:space="0" w:color="auto"/>
        <w:left w:val="none" w:sz="0" w:space="0" w:color="auto"/>
        <w:bottom w:val="none" w:sz="0" w:space="0" w:color="auto"/>
        <w:right w:val="none" w:sz="0" w:space="0" w:color="auto"/>
      </w:divBdr>
    </w:div>
    <w:div w:id="1882012985">
      <w:bodyDiv w:val="1"/>
      <w:marLeft w:val="0"/>
      <w:marRight w:val="0"/>
      <w:marTop w:val="0"/>
      <w:marBottom w:val="0"/>
      <w:divBdr>
        <w:top w:val="none" w:sz="0" w:space="0" w:color="auto"/>
        <w:left w:val="none" w:sz="0" w:space="0" w:color="auto"/>
        <w:bottom w:val="none" w:sz="0" w:space="0" w:color="auto"/>
        <w:right w:val="none" w:sz="0" w:space="0" w:color="auto"/>
      </w:divBdr>
    </w:div>
    <w:div w:id="1890605418">
      <w:bodyDiv w:val="1"/>
      <w:marLeft w:val="0"/>
      <w:marRight w:val="0"/>
      <w:marTop w:val="0"/>
      <w:marBottom w:val="0"/>
      <w:divBdr>
        <w:top w:val="none" w:sz="0" w:space="0" w:color="auto"/>
        <w:left w:val="none" w:sz="0" w:space="0" w:color="auto"/>
        <w:bottom w:val="none" w:sz="0" w:space="0" w:color="auto"/>
        <w:right w:val="none" w:sz="0" w:space="0" w:color="auto"/>
      </w:divBdr>
    </w:div>
    <w:div w:id="1926181983">
      <w:bodyDiv w:val="1"/>
      <w:marLeft w:val="0"/>
      <w:marRight w:val="0"/>
      <w:marTop w:val="0"/>
      <w:marBottom w:val="0"/>
      <w:divBdr>
        <w:top w:val="none" w:sz="0" w:space="0" w:color="auto"/>
        <w:left w:val="none" w:sz="0" w:space="0" w:color="auto"/>
        <w:bottom w:val="none" w:sz="0" w:space="0" w:color="auto"/>
        <w:right w:val="none" w:sz="0" w:space="0" w:color="auto"/>
      </w:divBdr>
    </w:div>
    <w:div w:id="1943561130">
      <w:bodyDiv w:val="1"/>
      <w:marLeft w:val="0"/>
      <w:marRight w:val="0"/>
      <w:marTop w:val="0"/>
      <w:marBottom w:val="0"/>
      <w:divBdr>
        <w:top w:val="none" w:sz="0" w:space="0" w:color="auto"/>
        <w:left w:val="none" w:sz="0" w:space="0" w:color="auto"/>
        <w:bottom w:val="none" w:sz="0" w:space="0" w:color="auto"/>
        <w:right w:val="none" w:sz="0" w:space="0" w:color="auto"/>
      </w:divBdr>
    </w:div>
    <w:div w:id="1955554790">
      <w:bodyDiv w:val="1"/>
      <w:marLeft w:val="0"/>
      <w:marRight w:val="0"/>
      <w:marTop w:val="0"/>
      <w:marBottom w:val="0"/>
      <w:divBdr>
        <w:top w:val="none" w:sz="0" w:space="0" w:color="auto"/>
        <w:left w:val="none" w:sz="0" w:space="0" w:color="auto"/>
        <w:bottom w:val="none" w:sz="0" w:space="0" w:color="auto"/>
        <w:right w:val="none" w:sz="0" w:space="0" w:color="auto"/>
      </w:divBdr>
    </w:div>
    <w:div w:id="2001158444">
      <w:bodyDiv w:val="1"/>
      <w:marLeft w:val="0"/>
      <w:marRight w:val="0"/>
      <w:marTop w:val="0"/>
      <w:marBottom w:val="0"/>
      <w:divBdr>
        <w:top w:val="none" w:sz="0" w:space="0" w:color="auto"/>
        <w:left w:val="none" w:sz="0" w:space="0" w:color="auto"/>
        <w:bottom w:val="none" w:sz="0" w:space="0" w:color="auto"/>
        <w:right w:val="none" w:sz="0" w:space="0" w:color="auto"/>
      </w:divBdr>
    </w:div>
    <w:div w:id="2124496241">
      <w:bodyDiv w:val="1"/>
      <w:marLeft w:val="0"/>
      <w:marRight w:val="0"/>
      <w:marTop w:val="0"/>
      <w:marBottom w:val="0"/>
      <w:divBdr>
        <w:top w:val="none" w:sz="0" w:space="0" w:color="auto"/>
        <w:left w:val="none" w:sz="0" w:space="0" w:color="auto"/>
        <w:bottom w:val="none" w:sz="0" w:space="0" w:color="auto"/>
        <w:right w:val="none" w:sz="0" w:space="0" w:color="auto"/>
      </w:divBdr>
    </w:div>
    <w:div w:id="214172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dot.org/bid-opening-info"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ot.org/modot-proposed-rules" TargetMode="External"/><Relationship Id="rId5" Type="http://schemas.openxmlformats.org/officeDocument/2006/relationships/styles" Target="styles.xml"/><Relationship Id="rId10" Type="http://schemas.openxmlformats.org/officeDocument/2006/relationships/hyperlink" Target="https://www.asphaltinstitute.org/engineering/specification-databases/us-state-binder-specifications/" TargetMode="External"/><Relationship Id="rId4" Type="http://schemas.openxmlformats.org/officeDocument/2006/relationships/numbering" Target="numbering.xml"/><Relationship Id="rId9" Type="http://schemas.openxmlformats.org/officeDocument/2006/relationships/hyperlink" Target="https://modotweb.modot.mo.gov/BidLettingPlansRoom/Letting/ViewStream/2638?type=general_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015053632764487CCCD295B55C005" ma:contentTypeVersion="11" ma:contentTypeDescription="Create a new document." ma:contentTypeScope="" ma:versionID="dbc33a79bc734e765cd6fe1fff284942">
  <xsd:schema xmlns:xsd="http://www.w3.org/2001/XMLSchema" xmlns:xs="http://www.w3.org/2001/XMLSchema" xmlns:p="http://schemas.microsoft.com/office/2006/metadata/properties" xmlns:ns2="90752437-68bd-475c-86a8-67f1d6677820" xmlns:ns3="56963302-5c31-401d-a271-72bffc9469c9" targetNamespace="http://schemas.microsoft.com/office/2006/metadata/properties" ma:root="true" ma:fieldsID="79dbe96e6913a036c68a977bf9889620" ns2:_="" ns3:_="">
    <xsd:import namespace="90752437-68bd-475c-86a8-67f1d6677820"/>
    <xsd:import namespace="56963302-5c31-401d-a271-72bffc9469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52437-68bd-475c-86a8-67f1d667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752437-68bd-475c-86a8-67f1d6677820">
      <Terms xmlns="http://schemas.microsoft.com/office/infopath/2007/PartnerControls"/>
    </lcf76f155ced4ddcb4097134ff3c332f>
    <TaxCatchAll xmlns="56963302-5c31-401d-a271-72bffc9469c9" xsi:nil="true"/>
  </documentManagement>
</p:properties>
</file>

<file path=customXml/itemProps1.xml><?xml version="1.0" encoding="utf-8"?>
<ds:datastoreItem xmlns:ds="http://schemas.openxmlformats.org/officeDocument/2006/customXml" ds:itemID="{697576AD-AE93-413C-A23C-8582B1F35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52437-68bd-475c-86a8-67f1d6677820"/>
    <ds:schemaRef ds:uri="56963302-5c31-401d-a271-72bffc946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6E1C9-6E01-4919-A93F-5579527E9F8F}">
  <ds:schemaRefs>
    <ds:schemaRef ds:uri="http://schemas.microsoft.com/sharepoint/v3/contenttype/forms"/>
  </ds:schemaRefs>
</ds:datastoreItem>
</file>

<file path=customXml/itemProps3.xml><?xml version="1.0" encoding="utf-8"?>
<ds:datastoreItem xmlns:ds="http://schemas.openxmlformats.org/officeDocument/2006/customXml" ds:itemID="{7994FE88-E08B-4CC9-B6EE-9DBA1D2477B8}">
  <ds:schemaRefs>
    <ds:schemaRef ds:uri="http://schemas.microsoft.com/office/2006/metadata/properties"/>
    <ds:schemaRef ds:uri="http://schemas.microsoft.com/office/infopath/2007/PartnerControls"/>
    <ds:schemaRef ds:uri="90752437-68bd-475c-86a8-67f1d6677820"/>
    <ds:schemaRef ds:uri="56963302-5c31-401d-a271-72bffc9469c9"/>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1694</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Ownership of RAP millings  - MAPA &amp; MODOT</vt:lpstr>
    </vt:vector>
  </TitlesOfParts>
  <Company>MoDOT</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Ownership of RAP millings  - MAPA &amp; MODOT</dc:title>
  <dc:creator>bryand</dc:creator>
  <cp:lastModifiedBy>Dale Williams</cp:lastModifiedBy>
  <cp:revision>168</cp:revision>
  <cp:lastPrinted>2025-01-21T13:21:00Z</cp:lastPrinted>
  <dcterms:created xsi:type="dcterms:W3CDTF">2025-01-21T13:20:00Z</dcterms:created>
  <dcterms:modified xsi:type="dcterms:W3CDTF">2025-01-22T18:18:00Z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0x010100B9F015053632764487CCCD295B55C005</vt:lpwstr>
  </property>
  <property fmtid="{D5CDD505-2E9C-101B-9397-08002B2CF9AE}" pid="3" name="Order">
    <vt:r8>22807800</vt:r8>
  </property>
  <property fmtid="{D5CDD505-2E9C-101B-9397-08002B2CF9AE}" pid="4" name="_ExtendedDescription">
    <vt:lpwstr/>
  </property>
</Properties>
</file>