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77777777" w:rsidR="00D77FB6" w:rsidRDefault="00D77FB6">
                            <w:pPr>
                              <w:pStyle w:val="Title"/>
                              <w:rPr>
                                <w:rFonts w:ascii="Times New Roman" w:hAnsi="Times New Roman" w:cs="Times New Roman"/>
                                <w:sz w:val="32"/>
                              </w:rPr>
                            </w:pPr>
                            <w:r>
                              <w:rPr>
                                <w:rFonts w:ascii="Times New Roman" w:hAnsi="Times New Roman" w:cs="Times New Roman"/>
                                <w:sz w:val="32"/>
                              </w:rPr>
                              <w:t>AGENDA</w:t>
                            </w:r>
                          </w:p>
                          <w:p w14:paraId="0C08E7B6" w14:textId="77777777" w:rsidR="00D77FB6" w:rsidRDefault="00D77FB6">
                            <w:pPr>
                              <w:jc w:val="center"/>
                              <w:rPr>
                                <w:b/>
                              </w:rPr>
                            </w:pPr>
                            <w:r>
                              <w:rPr>
                                <w:b/>
                              </w:rPr>
                              <w:t>MAPA / MoDOT Quarterly Meeting</w:t>
                            </w:r>
                          </w:p>
                          <w:p w14:paraId="4566D58E" w14:textId="08A006A6" w:rsidR="00D77FB6" w:rsidRDefault="00534DD4">
                            <w:pPr>
                              <w:jc w:val="center"/>
                              <w:rPr>
                                <w:b/>
                              </w:rPr>
                            </w:pPr>
                            <w:r>
                              <w:rPr>
                                <w:b/>
                              </w:rPr>
                              <w:t>February 3</w:t>
                            </w:r>
                            <w:r w:rsidR="00D77FB6">
                              <w:rPr>
                                <w:b/>
                              </w:rPr>
                              <w:t>, 202</w:t>
                            </w:r>
                            <w:r>
                              <w:rPr>
                                <w:b/>
                              </w:rPr>
                              <w:t>6</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77777777" w:rsidR="00D77FB6" w:rsidRDefault="00D77FB6">
                      <w:pPr>
                        <w:pStyle w:val="Title"/>
                        <w:rPr>
                          <w:rFonts w:ascii="Times New Roman" w:hAnsi="Times New Roman" w:cs="Times New Roman"/>
                          <w:sz w:val="32"/>
                        </w:rPr>
                      </w:pPr>
                      <w:r>
                        <w:rPr>
                          <w:rFonts w:ascii="Times New Roman" w:hAnsi="Times New Roman" w:cs="Times New Roman"/>
                          <w:sz w:val="32"/>
                        </w:rPr>
                        <w:t>AGENDA</w:t>
                      </w:r>
                    </w:p>
                    <w:p w14:paraId="0C08E7B6" w14:textId="77777777" w:rsidR="00D77FB6" w:rsidRDefault="00D77FB6">
                      <w:pPr>
                        <w:jc w:val="center"/>
                        <w:rPr>
                          <w:b/>
                        </w:rPr>
                      </w:pPr>
                      <w:r>
                        <w:rPr>
                          <w:b/>
                        </w:rPr>
                        <w:t>MAPA / MoDOT Quarterly Meeting</w:t>
                      </w:r>
                    </w:p>
                    <w:p w14:paraId="4566D58E" w14:textId="08A006A6" w:rsidR="00D77FB6" w:rsidRDefault="00534DD4">
                      <w:pPr>
                        <w:jc w:val="center"/>
                        <w:rPr>
                          <w:b/>
                        </w:rPr>
                      </w:pPr>
                      <w:r>
                        <w:rPr>
                          <w:b/>
                        </w:rPr>
                        <w:t>February 3</w:t>
                      </w:r>
                      <w:r w:rsidR="00D77FB6">
                        <w:rPr>
                          <w:b/>
                        </w:rPr>
                        <w:t>, 202</w:t>
                      </w:r>
                      <w:r>
                        <w:rPr>
                          <w:b/>
                        </w:rPr>
                        <w:t>6</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29DFBB90" w14:textId="77777777" w:rsidR="00826B03" w:rsidRDefault="00826B03" w:rsidP="000354C3">
      <w:pPr>
        <w:rPr>
          <w:b/>
          <w:sz w:val="28"/>
          <w:szCs w:val="28"/>
        </w:rPr>
      </w:pPr>
    </w:p>
    <w:p w14:paraId="779C3339" w14:textId="239DFED5" w:rsidR="00241E56" w:rsidRPr="00F942DB" w:rsidRDefault="00614F68" w:rsidP="00716930">
      <w:pPr>
        <w:jc w:val="center"/>
        <w:rPr>
          <w:rFonts w:asciiTheme="minorHAnsi" w:hAnsiTheme="minorHAnsi" w:cstheme="minorHAnsi"/>
        </w:rPr>
      </w:pPr>
      <w:r w:rsidRPr="00F942DB">
        <w:rPr>
          <w:rFonts w:asciiTheme="minorHAnsi" w:hAnsiTheme="minorHAnsi" w:cstheme="minorHAnsi"/>
          <w:b/>
        </w:rPr>
        <w:t>Agenda Items</w:t>
      </w:r>
      <w:r w:rsidR="00241E56" w:rsidRPr="00F942DB">
        <w:rPr>
          <w:rFonts w:asciiTheme="minorHAnsi" w:hAnsiTheme="minorHAnsi" w:cstheme="minorHAnsi"/>
        </w:rPr>
        <w:t> </w:t>
      </w:r>
    </w:p>
    <w:p w14:paraId="68B945C6" w14:textId="77777777" w:rsidR="00B83115" w:rsidRPr="00F942DB" w:rsidRDefault="00B83115" w:rsidP="00B83115">
      <w:pPr>
        <w:rPr>
          <w:rFonts w:asciiTheme="minorHAnsi" w:hAnsiTheme="minorHAnsi" w:cstheme="minorHAnsi"/>
        </w:rPr>
      </w:pPr>
      <w:r w:rsidRPr="00F942DB">
        <w:rPr>
          <w:rFonts w:asciiTheme="minorHAnsi" w:hAnsiTheme="minorHAnsi" w:cstheme="minorHAnsi"/>
        </w:rPr>
        <w:t> </w:t>
      </w:r>
    </w:p>
    <w:p w14:paraId="6C64EC5E" w14:textId="6AADC402" w:rsidR="00742787" w:rsidRDefault="00742787" w:rsidP="000F0942">
      <w:pPr>
        <w:pStyle w:val="ListParagraph"/>
        <w:numPr>
          <w:ilvl w:val="0"/>
          <w:numId w:val="9"/>
        </w:numPr>
        <w:ind w:firstLine="90"/>
        <w:rPr>
          <w:rFonts w:asciiTheme="minorHAnsi" w:hAnsiTheme="minorHAnsi" w:cstheme="minorHAnsi"/>
        </w:rPr>
      </w:pPr>
      <w:r w:rsidRPr="00F942DB">
        <w:rPr>
          <w:rFonts w:asciiTheme="minorHAnsi" w:hAnsiTheme="minorHAnsi" w:cstheme="minorHAnsi"/>
        </w:rPr>
        <w:t>Staffing Update</w:t>
      </w:r>
      <w:r w:rsidR="00C510D8" w:rsidRPr="00F942DB">
        <w:rPr>
          <w:rFonts w:asciiTheme="minorHAnsi" w:hAnsiTheme="minorHAnsi" w:cstheme="minorHAnsi"/>
        </w:rPr>
        <w:t>s</w:t>
      </w:r>
    </w:p>
    <w:p w14:paraId="3F88A455" w14:textId="77777777" w:rsidR="00582EF9" w:rsidRDefault="00582EF9" w:rsidP="00582EF9">
      <w:pPr>
        <w:rPr>
          <w:rFonts w:asciiTheme="minorHAnsi" w:hAnsiTheme="minorHAnsi" w:cstheme="minorHAnsi"/>
        </w:rPr>
      </w:pPr>
    </w:p>
    <w:p w14:paraId="67C49A78" w14:textId="77777777" w:rsidR="00582EF9" w:rsidRPr="00582EF9" w:rsidRDefault="00582EF9" w:rsidP="00582EF9">
      <w:pPr>
        <w:ind w:left="720"/>
        <w:rPr>
          <w:rFonts w:asciiTheme="minorHAnsi" w:hAnsiTheme="minorHAnsi" w:cstheme="minorHAnsi"/>
          <w:color w:val="4F81BD" w:themeColor="accent1"/>
        </w:rPr>
      </w:pPr>
      <w:r w:rsidRPr="00582EF9">
        <w:rPr>
          <w:rFonts w:asciiTheme="minorHAnsi" w:hAnsiTheme="minorHAnsi" w:cstheme="minorHAnsi"/>
          <w:color w:val="4F81BD" w:themeColor="accent1"/>
        </w:rPr>
        <w:t>Field Office</w:t>
      </w:r>
    </w:p>
    <w:p w14:paraId="697A4D5A" w14:textId="0345D966" w:rsidR="00582EF9" w:rsidRPr="00582EF9" w:rsidRDefault="00582EF9" w:rsidP="00582EF9">
      <w:pPr>
        <w:ind w:left="720"/>
        <w:rPr>
          <w:rFonts w:asciiTheme="minorHAnsi" w:hAnsiTheme="minorHAnsi" w:cstheme="minorHAnsi"/>
          <w:color w:val="4F81BD" w:themeColor="accent1"/>
        </w:rPr>
      </w:pPr>
      <w:r w:rsidRPr="00582EF9">
        <w:rPr>
          <w:rFonts w:asciiTheme="minorHAnsi" w:hAnsiTheme="minorHAnsi" w:cstheme="minorHAnsi"/>
          <w:color w:val="4F81BD" w:themeColor="accent1"/>
        </w:rPr>
        <w:t xml:space="preserve">Desley Forshee – </w:t>
      </w:r>
      <w:r w:rsidR="00633A19">
        <w:rPr>
          <w:rFonts w:asciiTheme="minorHAnsi" w:hAnsiTheme="minorHAnsi" w:cstheme="minorHAnsi"/>
          <w:color w:val="4F81BD" w:themeColor="accent1"/>
        </w:rPr>
        <w:t>N</w:t>
      </w:r>
      <w:r w:rsidRPr="00582EF9">
        <w:rPr>
          <w:rFonts w:asciiTheme="minorHAnsi" w:hAnsiTheme="minorHAnsi" w:cstheme="minorHAnsi"/>
          <w:color w:val="4F81BD" w:themeColor="accent1"/>
        </w:rPr>
        <w:t>ew Pavement Engineer</w:t>
      </w:r>
    </w:p>
    <w:p w14:paraId="12FFC552" w14:textId="0BFFAA4E" w:rsidR="00582EF9" w:rsidRPr="00582EF9" w:rsidRDefault="00582EF9" w:rsidP="00582EF9">
      <w:pPr>
        <w:ind w:left="720"/>
        <w:rPr>
          <w:rFonts w:asciiTheme="minorHAnsi" w:hAnsiTheme="minorHAnsi" w:cstheme="minorHAnsi"/>
        </w:rPr>
      </w:pPr>
      <w:r w:rsidRPr="00582EF9">
        <w:rPr>
          <w:rFonts w:asciiTheme="minorHAnsi" w:hAnsiTheme="minorHAnsi" w:cstheme="minorHAnsi"/>
          <w:color w:val="4F81BD" w:themeColor="accent1"/>
        </w:rPr>
        <w:t xml:space="preserve">Colten Johnson – </w:t>
      </w:r>
      <w:r w:rsidR="00633A19">
        <w:rPr>
          <w:rFonts w:asciiTheme="minorHAnsi" w:hAnsiTheme="minorHAnsi" w:cstheme="minorHAnsi"/>
          <w:color w:val="4F81BD" w:themeColor="accent1"/>
        </w:rPr>
        <w:t>N</w:t>
      </w:r>
      <w:r w:rsidRPr="00582EF9">
        <w:rPr>
          <w:rFonts w:asciiTheme="minorHAnsi" w:hAnsiTheme="minorHAnsi" w:cstheme="minorHAnsi"/>
          <w:color w:val="4F81BD" w:themeColor="accent1"/>
        </w:rPr>
        <w:t>ew Field Materials Engineer</w:t>
      </w:r>
    </w:p>
    <w:p w14:paraId="2D28A1E6" w14:textId="77777777" w:rsidR="00C510D8" w:rsidRPr="00F942DB" w:rsidRDefault="00C510D8" w:rsidP="00C510D8">
      <w:pPr>
        <w:pStyle w:val="ListParagraph"/>
        <w:rPr>
          <w:rFonts w:asciiTheme="minorHAnsi" w:hAnsiTheme="minorHAnsi" w:cstheme="minorHAnsi"/>
        </w:rPr>
      </w:pPr>
    </w:p>
    <w:p w14:paraId="246443E8" w14:textId="256FCF7D" w:rsidR="00791931" w:rsidRDefault="00B470BD" w:rsidP="000F0942">
      <w:pPr>
        <w:pStyle w:val="ListParagraph"/>
        <w:numPr>
          <w:ilvl w:val="0"/>
          <w:numId w:val="9"/>
        </w:numPr>
        <w:ind w:left="720" w:hanging="270"/>
        <w:rPr>
          <w:rFonts w:asciiTheme="minorHAnsi" w:hAnsiTheme="minorHAnsi" w:cstheme="minorHAnsi"/>
        </w:rPr>
      </w:pPr>
      <w:r w:rsidRPr="00F942DB">
        <w:rPr>
          <w:rFonts w:asciiTheme="minorHAnsi" w:hAnsiTheme="minorHAnsi" w:cstheme="minorHAnsi"/>
        </w:rPr>
        <w:t>MoDOT Design Standards Update</w:t>
      </w:r>
    </w:p>
    <w:p w14:paraId="23D4B1C1" w14:textId="77777777" w:rsidR="00052E36" w:rsidRPr="00CC3A4F" w:rsidRDefault="00052E36" w:rsidP="00CC3A4F">
      <w:pPr>
        <w:pStyle w:val="NormalWeb"/>
        <w:ind w:left="720"/>
        <w:rPr>
          <w:color w:val="4F81BD" w:themeColor="accent1"/>
        </w:rPr>
      </w:pPr>
      <w:r w:rsidRPr="00CC3A4F">
        <w:rPr>
          <w:color w:val="4F81BD" w:themeColor="accent1"/>
        </w:rPr>
        <w:t xml:space="preserve">Section 108 language has been cleaned up. </w:t>
      </w:r>
    </w:p>
    <w:p w14:paraId="3CEB4BC1" w14:textId="17E66777" w:rsidR="00052E36" w:rsidRPr="00CC3A4F" w:rsidRDefault="00052E36" w:rsidP="00CC3A4F">
      <w:pPr>
        <w:pStyle w:val="NormalWeb"/>
        <w:ind w:left="720"/>
        <w:rPr>
          <w:color w:val="4F81BD" w:themeColor="accent1"/>
        </w:rPr>
      </w:pPr>
      <w:r w:rsidRPr="00CC3A4F">
        <w:rPr>
          <w:color w:val="4F81BD" w:themeColor="accent1"/>
        </w:rPr>
        <w:t>Updates to the Hi-Mod asphalt JSP include raising the maximum rotational viscosity to 5.0, adding a requirement that binder modification be achieved only through polymer addition, and adjusting both the dust-to-effective binder ratio and drain-down criteria. A drafter’s note for pavement designers also allows up to a 25% reduction in pavement thickness when additional base and subgrade requirements are met.</w:t>
      </w:r>
      <w:r w:rsidR="00E07CFE">
        <w:rPr>
          <w:color w:val="4F81BD" w:themeColor="accent1"/>
        </w:rPr>
        <w:t xml:space="preserve">  See attached Hi MOD specification.</w:t>
      </w:r>
    </w:p>
    <w:p w14:paraId="29C5F0B9" w14:textId="77777777" w:rsidR="00052E36" w:rsidRDefault="00052E36" w:rsidP="00CC3A4F">
      <w:pPr>
        <w:pStyle w:val="NormalWeb"/>
        <w:ind w:left="720"/>
      </w:pPr>
      <w:r w:rsidRPr="00CC3A4F">
        <w:rPr>
          <w:color w:val="4F81BD" w:themeColor="accent1"/>
        </w:rPr>
        <w:t xml:space="preserve">MoDOT also reported that </w:t>
      </w:r>
      <w:proofErr w:type="spellStart"/>
      <w:r w:rsidRPr="00CC3A4F">
        <w:rPr>
          <w:color w:val="4F81BD" w:themeColor="accent1"/>
        </w:rPr>
        <w:t>BidX</w:t>
      </w:r>
      <w:proofErr w:type="spellEnd"/>
      <w:r w:rsidRPr="00CC3A4F">
        <w:rPr>
          <w:color w:val="4F81BD" w:themeColor="accent1"/>
        </w:rPr>
        <w:t xml:space="preserve"> will transition to a fully web-based application, expected to be in place for the August 2026 letting. Functionality is expected to remain similar to the current </w:t>
      </w:r>
      <w:proofErr w:type="spellStart"/>
      <w:r w:rsidRPr="00CC3A4F">
        <w:rPr>
          <w:color w:val="4F81BD" w:themeColor="accent1"/>
        </w:rPr>
        <w:t>BidX</w:t>
      </w:r>
      <w:proofErr w:type="spellEnd"/>
      <w:r w:rsidRPr="00CC3A4F">
        <w:rPr>
          <w:color w:val="4F81BD" w:themeColor="accent1"/>
        </w:rPr>
        <w:t xml:space="preserve"> platform, but the application will operate entirely within a web browser.</w:t>
      </w:r>
    </w:p>
    <w:p w14:paraId="3EF30550" w14:textId="6F198BE3" w:rsidR="000F0942" w:rsidRPr="000F0942" w:rsidRDefault="000F0942" w:rsidP="000F0942">
      <w:pPr>
        <w:pStyle w:val="ListParagraph"/>
        <w:numPr>
          <w:ilvl w:val="0"/>
          <w:numId w:val="9"/>
        </w:numPr>
        <w:ind w:firstLine="90"/>
        <w:rPr>
          <w:rFonts w:asciiTheme="minorHAnsi" w:hAnsiTheme="minorHAnsi" w:cstheme="minorHAnsi"/>
        </w:rPr>
      </w:pPr>
      <w:r>
        <w:rPr>
          <w:rFonts w:asciiTheme="minorHAnsi" w:hAnsiTheme="minorHAnsi" w:cstheme="minorHAnsi"/>
        </w:rPr>
        <w:t>Action Items Follow-Up from October 2025</w:t>
      </w:r>
    </w:p>
    <w:p w14:paraId="6ECB0C5A" w14:textId="77777777" w:rsidR="00B9395E" w:rsidRPr="00F86B9F" w:rsidRDefault="00B9395E" w:rsidP="00F86B9F">
      <w:pPr>
        <w:rPr>
          <w:rFonts w:asciiTheme="minorHAnsi" w:hAnsiTheme="minorHAnsi" w:cstheme="minorHAnsi"/>
        </w:rPr>
      </w:pPr>
    </w:p>
    <w:p w14:paraId="4870A55A" w14:textId="77777777" w:rsidR="000F0942" w:rsidRDefault="000F0942" w:rsidP="000F0942">
      <w:pPr>
        <w:pStyle w:val="ListParagraph"/>
        <w:numPr>
          <w:ilvl w:val="1"/>
          <w:numId w:val="9"/>
        </w:numPr>
        <w:rPr>
          <w:rFonts w:asciiTheme="minorHAnsi" w:hAnsiTheme="minorHAnsi" w:cstheme="minorHAnsi"/>
        </w:rPr>
      </w:pPr>
      <w:r w:rsidRPr="000F0942">
        <w:rPr>
          <w:rFonts w:asciiTheme="minorHAnsi" w:hAnsiTheme="minorHAnsi" w:cstheme="minorHAnsi"/>
        </w:rPr>
        <w:t>REOB and VTAE AASHTO SOM test method update</w:t>
      </w:r>
    </w:p>
    <w:p w14:paraId="75908E58" w14:textId="77777777" w:rsidR="004768C5" w:rsidRDefault="004768C5" w:rsidP="00864946">
      <w:pPr>
        <w:ind w:left="1440"/>
        <w:rPr>
          <w:rFonts w:asciiTheme="minorHAnsi" w:hAnsiTheme="minorHAnsi" w:cstheme="minorHAnsi"/>
        </w:rPr>
      </w:pPr>
    </w:p>
    <w:p w14:paraId="248452A0" w14:textId="49A6AC1C" w:rsidR="000F0942" w:rsidRDefault="00BB35D0" w:rsidP="000F0942">
      <w:pPr>
        <w:pStyle w:val="ListParagraph"/>
        <w:ind w:left="1440"/>
        <w:rPr>
          <w:rFonts w:asciiTheme="minorHAnsi" w:hAnsiTheme="minorHAnsi" w:cstheme="minorHAnsi"/>
        </w:rPr>
      </w:pPr>
      <w:r w:rsidRPr="00BB35D0">
        <w:rPr>
          <w:rFonts w:asciiTheme="minorHAnsi" w:hAnsiTheme="minorHAnsi" w:cstheme="minorHAnsi"/>
          <w:color w:val="4F81BD" w:themeColor="accent1"/>
        </w:rPr>
        <w:t xml:space="preserve">A proposed test method has been approved by AASHTO and is expected to receive a provisional test designation </w:t>
      </w:r>
      <w:proofErr w:type="gramStart"/>
      <w:r w:rsidRPr="00BB35D0">
        <w:rPr>
          <w:rFonts w:asciiTheme="minorHAnsi" w:hAnsiTheme="minorHAnsi" w:cstheme="minorHAnsi"/>
          <w:color w:val="4F81BD" w:themeColor="accent1"/>
        </w:rPr>
        <w:t>in the near future</w:t>
      </w:r>
      <w:proofErr w:type="gramEnd"/>
      <w:r w:rsidRPr="00BB35D0">
        <w:rPr>
          <w:rFonts w:asciiTheme="minorHAnsi" w:hAnsiTheme="minorHAnsi" w:cstheme="minorHAnsi"/>
          <w:color w:val="4F81BD" w:themeColor="accent1"/>
        </w:rPr>
        <w:t>. The method uses either handheld or benchtop XRF equipment to identify specific elements and develop calibration curves for evaluation purposes.</w:t>
      </w:r>
    </w:p>
    <w:p w14:paraId="70A6978A" w14:textId="77777777" w:rsidR="00BB35D0" w:rsidRPr="000F0942" w:rsidRDefault="00BB35D0" w:rsidP="000F0942">
      <w:pPr>
        <w:pStyle w:val="ListParagraph"/>
        <w:ind w:left="1440"/>
        <w:rPr>
          <w:rFonts w:asciiTheme="minorHAnsi" w:hAnsiTheme="minorHAnsi" w:cstheme="minorHAnsi"/>
        </w:rPr>
      </w:pPr>
    </w:p>
    <w:p w14:paraId="0362914E" w14:textId="77777777" w:rsidR="000F0942" w:rsidRDefault="000F0942" w:rsidP="000F0942">
      <w:pPr>
        <w:pStyle w:val="ListParagraph"/>
        <w:numPr>
          <w:ilvl w:val="1"/>
          <w:numId w:val="9"/>
        </w:numPr>
        <w:rPr>
          <w:rFonts w:asciiTheme="minorHAnsi" w:hAnsiTheme="minorHAnsi" w:cstheme="minorHAnsi"/>
        </w:rPr>
      </w:pPr>
      <w:r w:rsidRPr="000F0942">
        <w:rPr>
          <w:rFonts w:asciiTheme="minorHAnsi" w:hAnsiTheme="minorHAnsi" w:cstheme="minorHAnsi"/>
        </w:rPr>
        <w:t>Third-party inspection lane drops for pavement repair marking</w:t>
      </w:r>
    </w:p>
    <w:p w14:paraId="39C58C6F" w14:textId="77777777" w:rsidR="007C2E5F" w:rsidRDefault="007C2E5F" w:rsidP="007C2E5F">
      <w:pPr>
        <w:rPr>
          <w:rFonts w:asciiTheme="minorHAnsi" w:hAnsiTheme="minorHAnsi" w:cstheme="minorHAnsi"/>
        </w:rPr>
      </w:pPr>
    </w:p>
    <w:p w14:paraId="63AFECCC" w14:textId="2CCCB632" w:rsidR="007C2E5F" w:rsidRDefault="007C2E5F" w:rsidP="007C2E5F">
      <w:pPr>
        <w:ind w:left="1440"/>
        <w:rPr>
          <w:color w:val="4F81BD" w:themeColor="accent1"/>
        </w:rPr>
      </w:pPr>
      <w:r w:rsidRPr="007C2E5F">
        <w:rPr>
          <w:color w:val="4F81BD" w:themeColor="accent1"/>
        </w:rPr>
        <w:t xml:space="preserve">Discussion centered on whether contractors are required to provide lane drops for third-party inspectors to mark pavement repairs. MoDOT noted that, historically, its staff coordinated with contractors to time repair layout activities in a way that minimized impacts, and consultant </w:t>
      </w:r>
      <w:r w:rsidRPr="007C2E5F">
        <w:rPr>
          <w:color w:val="4F81BD" w:themeColor="accent1"/>
        </w:rPr>
        <w:lastRenderedPageBreak/>
        <w:t>inspectors are expected to follow the same practices. The overall magnitude of the issue is unclear and may largely be addressed through improved project-level communication, particularly during preconstruction meetings. In many situations, inspectors may not need to occupy the travel lane to mark repairs, providing workable alternatives.</w:t>
      </w:r>
    </w:p>
    <w:p w14:paraId="5867CAB1" w14:textId="77777777" w:rsidR="007C2E5F" w:rsidRDefault="007C2E5F" w:rsidP="007C2E5F">
      <w:pPr>
        <w:ind w:left="1440"/>
        <w:rPr>
          <w:color w:val="4F81BD" w:themeColor="accent1"/>
        </w:rPr>
      </w:pPr>
    </w:p>
    <w:p w14:paraId="1CB4E495" w14:textId="104FB9EE" w:rsidR="007C2E5F" w:rsidRPr="003B5B3A" w:rsidRDefault="003B5B3A" w:rsidP="007C2E5F">
      <w:pPr>
        <w:ind w:left="1440"/>
        <w:rPr>
          <w:rFonts w:asciiTheme="minorHAnsi" w:hAnsiTheme="minorHAnsi" w:cstheme="minorHAnsi"/>
          <w:color w:val="EE0000"/>
        </w:rPr>
      </w:pPr>
      <w:r w:rsidRPr="003B5B3A">
        <w:rPr>
          <w:rFonts w:asciiTheme="minorHAnsi" w:hAnsiTheme="minorHAnsi" w:cstheme="minorHAnsi"/>
          <w:b/>
          <w:bCs/>
          <w:color w:val="EE0000"/>
        </w:rPr>
        <w:t>Action Item:</w:t>
      </w:r>
      <w:r w:rsidRPr="003B5B3A">
        <w:rPr>
          <w:rFonts w:asciiTheme="minorHAnsi" w:hAnsiTheme="minorHAnsi" w:cstheme="minorHAnsi"/>
          <w:color w:val="EE0000"/>
        </w:rPr>
        <w:t xml:space="preserve"> MoDOT will follow up on this issue and raise it at the upcoming statewide Resident Engineer meeting, with additional discussion planned during March meetings with Design and Construction staff.</w:t>
      </w:r>
    </w:p>
    <w:p w14:paraId="776D1441" w14:textId="47256AB6" w:rsidR="000F0942" w:rsidRPr="000F0942" w:rsidRDefault="000F0942" w:rsidP="000F0942">
      <w:pPr>
        <w:pStyle w:val="ListParagraph"/>
        <w:ind w:left="1440"/>
        <w:rPr>
          <w:rFonts w:asciiTheme="minorHAnsi" w:hAnsiTheme="minorHAnsi" w:cstheme="minorHAnsi"/>
        </w:rPr>
      </w:pPr>
    </w:p>
    <w:p w14:paraId="2EAF0749" w14:textId="77777777" w:rsidR="000F0942" w:rsidRDefault="000F0942" w:rsidP="000F0942">
      <w:pPr>
        <w:pStyle w:val="ListParagraph"/>
        <w:numPr>
          <w:ilvl w:val="1"/>
          <w:numId w:val="9"/>
        </w:numPr>
        <w:rPr>
          <w:rFonts w:asciiTheme="minorHAnsi" w:hAnsiTheme="minorHAnsi" w:cstheme="minorHAnsi"/>
        </w:rPr>
      </w:pPr>
      <w:r w:rsidRPr="000F0942">
        <w:rPr>
          <w:rFonts w:asciiTheme="minorHAnsi" w:hAnsiTheme="minorHAnsi" w:cstheme="minorHAnsi"/>
        </w:rPr>
        <w:t>Shoulder compaction expectations and inspector guidance</w:t>
      </w:r>
    </w:p>
    <w:p w14:paraId="2C3F0B36" w14:textId="77777777" w:rsidR="00DE3996" w:rsidRDefault="00DE3996" w:rsidP="00DE3996">
      <w:pPr>
        <w:rPr>
          <w:rFonts w:asciiTheme="minorHAnsi" w:hAnsiTheme="minorHAnsi" w:cstheme="minorHAnsi"/>
        </w:rPr>
      </w:pPr>
    </w:p>
    <w:p w14:paraId="64D48863" w14:textId="49B484A3" w:rsidR="00DE3996" w:rsidRDefault="00194FBC" w:rsidP="00194FBC">
      <w:pPr>
        <w:ind w:left="1440"/>
        <w:rPr>
          <w:rFonts w:asciiTheme="minorHAnsi" w:hAnsiTheme="minorHAnsi" w:cstheme="minorHAnsi"/>
          <w:color w:val="4F81BD" w:themeColor="accent1"/>
        </w:rPr>
      </w:pPr>
      <w:r>
        <w:rPr>
          <w:rFonts w:asciiTheme="minorHAnsi" w:hAnsiTheme="minorHAnsi" w:cstheme="minorHAnsi"/>
          <w:color w:val="4F81BD" w:themeColor="accent1"/>
        </w:rPr>
        <w:t>See attached draft proposal.</w:t>
      </w:r>
    </w:p>
    <w:p w14:paraId="2002DD62" w14:textId="77777777" w:rsidR="00194FBC" w:rsidRDefault="00194FBC" w:rsidP="00194FBC">
      <w:pPr>
        <w:ind w:left="1440"/>
        <w:rPr>
          <w:rFonts w:asciiTheme="minorHAnsi" w:hAnsiTheme="minorHAnsi" w:cstheme="minorHAnsi"/>
          <w:color w:val="4F81BD" w:themeColor="accent1"/>
        </w:rPr>
      </w:pPr>
    </w:p>
    <w:p w14:paraId="0BB75729" w14:textId="5F56D451" w:rsidR="000F0942" w:rsidRDefault="004B715E" w:rsidP="000F0942">
      <w:pPr>
        <w:pStyle w:val="ListParagraph"/>
        <w:ind w:left="1440"/>
        <w:rPr>
          <w:rFonts w:asciiTheme="minorHAnsi" w:hAnsiTheme="minorHAnsi" w:cstheme="minorHAnsi"/>
          <w:b/>
          <w:bCs/>
          <w:color w:val="EE0000"/>
        </w:rPr>
      </w:pPr>
      <w:r w:rsidRPr="004B715E">
        <w:rPr>
          <w:rFonts w:asciiTheme="minorHAnsi" w:hAnsiTheme="minorHAnsi" w:cstheme="minorHAnsi"/>
          <w:b/>
          <w:bCs/>
          <w:color w:val="EE0000"/>
        </w:rPr>
        <w:t xml:space="preserve">Action Item: </w:t>
      </w:r>
      <w:r w:rsidRPr="004B715E">
        <w:rPr>
          <w:rFonts w:asciiTheme="minorHAnsi" w:hAnsiTheme="minorHAnsi" w:cstheme="minorHAnsi"/>
          <w:color w:val="EE0000"/>
        </w:rPr>
        <w:t>MAPA will share the information with industry members and submit comments to MoDOT.</w:t>
      </w:r>
    </w:p>
    <w:p w14:paraId="4296DF86" w14:textId="77777777" w:rsidR="004B715E" w:rsidRPr="000F0942" w:rsidRDefault="004B715E" w:rsidP="000F0942">
      <w:pPr>
        <w:pStyle w:val="ListParagraph"/>
        <w:ind w:left="1440"/>
        <w:rPr>
          <w:rFonts w:asciiTheme="minorHAnsi" w:hAnsiTheme="minorHAnsi" w:cstheme="minorHAnsi"/>
        </w:rPr>
      </w:pPr>
    </w:p>
    <w:p w14:paraId="139778FE" w14:textId="77777777" w:rsidR="000F0942" w:rsidRPr="000F0942" w:rsidRDefault="000F0942" w:rsidP="000F0942">
      <w:pPr>
        <w:pStyle w:val="ListParagraph"/>
        <w:numPr>
          <w:ilvl w:val="1"/>
          <w:numId w:val="9"/>
        </w:numPr>
        <w:rPr>
          <w:rFonts w:asciiTheme="minorHAnsi" w:hAnsiTheme="minorHAnsi" w:cstheme="minorHAnsi"/>
        </w:rPr>
      </w:pPr>
      <w:r w:rsidRPr="000F0942">
        <w:rPr>
          <w:rFonts w:asciiTheme="minorHAnsi" w:hAnsiTheme="minorHAnsi" w:cstheme="minorHAnsi"/>
        </w:rPr>
        <w:t>BMD specification – shoulder density language</w:t>
      </w:r>
    </w:p>
    <w:p w14:paraId="3C77CAAB" w14:textId="77777777" w:rsidR="004B715E" w:rsidRDefault="004B715E" w:rsidP="004B715E">
      <w:pPr>
        <w:ind w:left="1440"/>
        <w:rPr>
          <w:rFonts w:asciiTheme="minorHAnsi" w:hAnsiTheme="minorHAnsi" w:cstheme="minorHAnsi"/>
          <w:color w:val="4F81BD" w:themeColor="accent1"/>
        </w:rPr>
      </w:pPr>
    </w:p>
    <w:p w14:paraId="522B0C98" w14:textId="5C86DA76" w:rsidR="004B715E" w:rsidRDefault="004B715E" w:rsidP="004B715E">
      <w:pPr>
        <w:ind w:left="1440"/>
        <w:rPr>
          <w:rFonts w:asciiTheme="minorHAnsi" w:hAnsiTheme="minorHAnsi" w:cstheme="minorHAnsi"/>
          <w:color w:val="4F81BD" w:themeColor="accent1"/>
        </w:rPr>
      </w:pPr>
      <w:r>
        <w:rPr>
          <w:rFonts w:asciiTheme="minorHAnsi" w:hAnsiTheme="minorHAnsi" w:cstheme="minorHAnsi"/>
          <w:color w:val="4F81BD" w:themeColor="accent1"/>
        </w:rPr>
        <w:t>See attached draft proposal.</w:t>
      </w:r>
    </w:p>
    <w:p w14:paraId="588F02D3" w14:textId="77777777" w:rsidR="004B715E" w:rsidRDefault="004B715E" w:rsidP="004B715E">
      <w:pPr>
        <w:ind w:left="1440"/>
        <w:rPr>
          <w:rFonts w:asciiTheme="minorHAnsi" w:hAnsiTheme="minorHAnsi" w:cstheme="minorHAnsi"/>
          <w:color w:val="4F81BD" w:themeColor="accent1"/>
        </w:rPr>
      </w:pPr>
    </w:p>
    <w:p w14:paraId="016C502B" w14:textId="77777777" w:rsidR="004B715E" w:rsidRDefault="004B715E" w:rsidP="004B715E">
      <w:pPr>
        <w:pStyle w:val="ListParagraph"/>
        <w:ind w:left="1440"/>
        <w:rPr>
          <w:rFonts w:asciiTheme="minorHAnsi" w:hAnsiTheme="minorHAnsi" w:cstheme="minorHAnsi"/>
          <w:b/>
          <w:bCs/>
          <w:color w:val="EE0000"/>
        </w:rPr>
      </w:pPr>
      <w:r w:rsidRPr="004B715E">
        <w:rPr>
          <w:rFonts w:asciiTheme="minorHAnsi" w:hAnsiTheme="minorHAnsi" w:cstheme="minorHAnsi"/>
          <w:b/>
          <w:bCs/>
          <w:color w:val="EE0000"/>
        </w:rPr>
        <w:t xml:space="preserve">Action Item: </w:t>
      </w:r>
      <w:r w:rsidRPr="004B715E">
        <w:rPr>
          <w:rFonts w:asciiTheme="minorHAnsi" w:hAnsiTheme="minorHAnsi" w:cstheme="minorHAnsi"/>
          <w:color w:val="EE0000"/>
        </w:rPr>
        <w:t>MAPA will share the information with industry members and submit comments to MoDOT.</w:t>
      </w:r>
    </w:p>
    <w:p w14:paraId="35096B7C" w14:textId="77777777" w:rsidR="000F0942" w:rsidRPr="000F0942" w:rsidRDefault="000F0942" w:rsidP="000F0942">
      <w:pPr>
        <w:pStyle w:val="ListParagraph"/>
        <w:ind w:left="1440"/>
        <w:rPr>
          <w:rFonts w:asciiTheme="minorHAnsi" w:hAnsiTheme="minorHAnsi" w:cstheme="minorHAnsi"/>
        </w:rPr>
      </w:pPr>
    </w:p>
    <w:p w14:paraId="456D4B43" w14:textId="77777777" w:rsidR="000F0942" w:rsidRDefault="000F0942" w:rsidP="000F0942">
      <w:pPr>
        <w:pStyle w:val="ListParagraph"/>
        <w:numPr>
          <w:ilvl w:val="1"/>
          <w:numId w:val="9"/>
        </w:numPr>
        <w:rPr>
          <w:rFonts w:asciiTheme="minorHAnsi" w:hAnsiTheme="minorHAnsi" w:cstheme="minorHAnsi"/>
        </w:rPr>
      </w:pPr>
      <w:r w:rsidRPr="000F0942">
        <w:rPr>
          <w:rFonts w:asciiTheme="minorHAnsi" w:hAnsiTheme="minorHAnsi" w:cstheme="minorHAnsi"/>
        </w:rPr>
        <w:t>Use of AASHTO T 331 for density cores</w:t>
      </w:r>
    </w:p>
    <w:p w14:paraId="070742D4" w14:textId="77777777" w:rsidR="00C40CC6" w:rsidRDefault="00C40CC6" w:rsidP="00C40CC6">
      <w:pPr>
        <w:ind w:left="1440"/>
        <w:rPr>
          <w:rFonts w:asciiTheme="minorHAnsi" w:hAnsiTheme="minorHAnsi" w:cstheme="minorHAnsi"/>
        </w:rPr>
      </w:pPr>
    </w:p>
    <w:p w14:paraId="78AA75DC" w14:textId="2B3ABA3B" w:rsidR="00C40CC6" w:rsidRPr="00C40CC6" w:rsidRDefault="00C40CC6" w:rsidP="00C40CC6">
      <w:pPr>
        <w:ind w:left="1440"/>
        <w:rPr>
          <w:rFonts w:asciiTheme="minorHAnsi" w:hAnsiTheme="minorHAnsi" w:cstheme="minorHAnsi"/>
          <w:color w:val="4F81BD" w:themeColor="accent1"/>
        </w:rPr>
      </w:pPr>
      <w:r w:rsidRPr="00C40CC6">
        <w:rPr>
          <w:rFonts w:asciiTheme="minorHAnsi" w:hAnsiTheme="minorHAnsi" w:cstheme="minorHAnsi"/>
          <w:color w:val="4F81BD" w:themeColor="accent1"/>
        </w:rPr>
        <w:t xml:space="preserve">Industry information indicates AASHTO T 331 provides the most accurate density results when core absorption exceeds 2%, and the specification requires its use under those conditions. Any correlation between T 331 and T 166 results would be </w:t>
      </w:r>
      <w:proofErr w:type="gramStart"/>
      <w:r w:rsidRPr="00C40CC6">
        <w:rPr>
          <w:rFonts w:asciiTheme="minorHAnsi" w:hAnsiTheme="minorHAnsi" w:cstheme="minorHAnsi"/>
          <w:color w:val="4F81BD" w:themeColor="accent1"/>
        </w:rPr>
        <w:t>mix</w:t>
      </w:r>
      <w:proofErr w:type="gramEnd"/>
      <w:r w:rsidRPr="00C40CC6">
        <w:rPr>
          <w:rFonts w:asciiTheme="minorHAnsi" w:hAnsiTheme="minorHAnsi" w:cstheme="minorHAnsi"/>
          <w:color w:val="4F81BD" w:themeColor="accent1"/>
        </w:rPr>
        <w:t xml:space="preserve"> dependent and would require additional research to establish a reliable adjustment factor. NAPA recommends ensuring proper equipment calibration and adherence to standard procedures rather than applying an adjustment factor. MoDOT does not plan to pursue development of a statewide correlation and will follow the AASHTO T 331 specification when core absorption exceeds 2%.</w:t>
      </w:r>
    </w:p>
    <w:p w14:paraId="3E7863C5" w14:textId="77777777" w:rsidR="00C40CC6" w:rsidRPr="00C40CC6" w:rsidRDefault="00C40CC6" w:rsidP="00C40CC6">
      <w:pPr>
        <w:ind w:left="1440"/>
        <w:rPr>
          <w:rFonts w:asciiTheme="minorHAnsi" w:hAnsiTheme="minorHAnsi" w:cstheme="minorHAnsi"/>
          <w:color w:val="4F81BD" w:themeColor="accent1"/>
        </w:rPr>
      </w:pPr>
    </w:p>
    <w:p w14:paraId="2B98574E" w14:textId="77777777" w:rsidR="00C40CC6" w:rsidRPr="00C40CC6" w:rsidRDefault="00C40CC6" w:rsidP="00C40CC6">
      <w:pPr>
        <w:ind w:left="1440"/>
        <w:rPr>
          <w:rFonts w:asciiTheme="minorHAnsi" w:hAnsiTheme="minorHAnsi" w:cstheme="minorHAnsi"/>
          <w:color w:val="4F81BD" w:themeColor="accent1"/>
        </w:rPr>
      </w:pPr>
      <w:r w:rsidRPr="00C40CC6">
        <w:rPr>
          <w:rFonts w:asciiTheme="minorHAnsi" w:hAnsiTheme="minorHAnsi" w:cstheme="minorHAnsi"/>
          <w:color w:val="4F81BD" w:themeColor="accent1"/>
        </w:rPr>
        <w:t>MAPA members also expressed concern that when comparing density results on cores with less than 2% absorption, T 331 tends to produce lower density values. It was also noted that AASHTO Proficiency Sample results show an apparent difference between methods.</w:t>
      </w:r>
    </w:p>
    <w:p w14:paraId="0E5A23E8" w14:textId="77777777" w:rsidR="00C40CC6" w:rsidRPr="00C40CC6" w:rsidRDefault="00C40CC6" w:rsidP="00C40CC6">
      <w:pPr>
        <w:ind w:left="1440"/>
        <w:rPr>
          <w:rFonts w:asciiTheme="minorHAnsi" w:hAnsiTheme="minorHAnsi" w:cstheme="minorHAnsi"/>
        </w:rPr>
      </w:pPr>
    </w:p>
    <w:p w14:paraId="1F7519AC" w14:textId="33202338" w:rsidR="00C40CC6" w:rsidRPr="00C40CC6" w:rsidRDefault="00C40CC6" w:rsidP="00C40CC6">
      <w:pPr>
        <w:ind w:left="1440"/>
        <w:rPr>
          <w:rFonts w:asciiTheme="minorHAnsi" w:hAnsiTheme="minorHAnsi" w:cstheme="minorHAnsi"/>
          <w:color w:val="EE0000"/>
        </w:rPr>
      </w:pPr>
      <w:r w:rsidRPr="00C40CC6">
        <w:rPr>
          <w:rFonts w:asciiTheme="minorHAnsi" w:hAnsiTheme="minorHAnsi" w:cstheme="minorHAnsi"/>
          <w:b/>
          <w:bCs/>
          <w:color w:val="EE0000"/>
        </w:rPr>
        <w:t>Action Item:</w:t>
      </w:r>
      <w:r w:rsidRPr="00C40CC6">
        <w:rPr>
          <w:rFonts w:asciiTheme="minorHAnsi" w:hAnsiTheme="minorHAnsi" w:cstheme="minorHAnsi"/>
          <w:color w:val="EE0000"/>
        </w:rPr>
        <w:t xml:space="preserve"> MAPA Technical Committee will further investigate differences between T 331 and T 166 results.</w:t>
      </w:r>
    </w:p>
    <w:p w14:paraId="0CED33AB" w14:textId="77777777" w:rsidR="000F0942" w:rsidRPr="000F0942" w:rsidRDefault="000F0942" w:rsidP="000F0942">
      <w:pPr>
        <w:pStyle w:val="ListParagraph"/>
        <w:ind w:left="1440"/>
        <w:rPr>
          <w:rFonts w:asciiTheme="minorHAnsi" w:hAnsiTheme="minorHAnsi" w:cstheme="minorHAnsi"/>
        </w:rPr>
      </w:pPr>
    </w:p>
    <w:p w14:paraId="02E3D0EF" w14:textId="67B82CBB" w:rsidR="000F0942" w:rsidRDefault="000F0942" w:rsidP="000F0942">
      <w:pPr>
        <w:pStyle w:val="ListParagraph"/>
        <w:numPr>
          <w:ilvl w:val="1"/>
          <w:numId w:val="9"/>
        </w:numPr>
        <w:rPr>
          <w:rFonts w:asciiTheme="minorHAnsi" w:hAnsiTheme="minorHAnsi" w:cstheme="minorHAnsi"/>
        </w:rPr>
      </w:pPr>
      <w:r w:rsidRPr="000F0942">
        <w:rPr>
          <w:rFonts w:asciiTheme="minorHAnsi" w:hAnsiTheme="minorHAnsi" w:cstheme="minorHAnsi"/>
        </w:rPr>
        <w:t>Random number conflicts for volumetrics, TSR, and BMD testing</w:t>
      </w:r>
    </w:p>
    <w:p w14:paraId="4239E3E7" w14:textId="77777777" w:rsidR="00C8410E" w:rsidRDefault="00C8410E" w:rsidP="00DF60EE">
      <w:pPr>
        <w:ind w:left="1440"/>
        <w:rPr>
          <w:rFonts w:asciiTheme="minorHAnsi" w:hAnsiTheme="minorHAnsi" w:cstheme="minorHAnsi"/>
        </w:rPr>
      </w:pPr>
    </w:p>
    <w:p w14:paraId="00A48C1D" w14:textId="6D466FBF" w:rsidR="00DF60EE" w:rsidRPr="00C8410E" w:rsidRDefault="00DF60EE" w:rsidP="00DF60EE">
      <w:pPr>
        <w:ind w:left="1440"/>
        <w:rPr>
          <w:rFonts w:asciiTheme="minorHAnsi" w:hAnsiTheme="minorHAnsi" w:cstheme="minorHAnsi"/>
          <w:color w:val="4F81BD" w:themeColor="accent1"/>
        </w:rPr>
      </w:pPr>
      <w:r w:rsidRPr="00C8410E">
        <w:rPr>
          <w:rFonts w:asciiTheme="minorHAnsi" w:hAnsiTheme="minorHAnsi" w:cstheme="minorHAnsi"/>
          <w:color w:val="4F81BD" w:themeColor="accent1"/>
        </w:rPr>
        <w:t>Random number conflicts between volumetric, TSR, and BMD testing were discussed, with MoDOT noting that the issue has already been addressed in the BMD specification. When random numbers overlap for multiple tests, contractors are to complete the first required test and then immediately proceed with the next testing requirement.</w:t>
      </w:r>
    </w:p>
    <w:p w14:paraId="439FE324" w14:textId="77777777" w:rsidR="00DF60EE" w:rsidRPr="00C8410E" w:rsidRDefault="00DF60EE" w:rsidP="00DF60EE">
      <w:pPr>
        <w:ind w:left="1440"/>
        <w:rPr>
          <w:rFonts w:asciiTheme="minorHAnsi" w:hAnsiTheme="minorHAnsi" w:cstheme="minorHAnsi"/>
          <w:color w:val="4F81BD" w:themeColor="accent1"/>
        </w:rPr>
      </w:pPr>
    </w:p>
    <w:p w14:paraId="49FCC105" w14:textId="67D9B52B" w:rsidR="009A2486" w:rsidRPr="00C8410E" w:rsidRDefault="00DF60EE" w:rsidP="00DF60EE">
      <w:pPr>
        <w:ind w:left="1440"/>
        <w:rPr>
          <w:rFonts w:asciiTheme="minorHAnsi" w:hAnsiTheme="minorHAnsi" w:cstheme="minorHAnsi"/>
          <w:color w:val="4F81BD" w:themeColor="accent1"/>
        </w:rPr>
      </w:pPr>
      <w:r w:rsidRPr="00C8410E">
        <w:rPr>
          <w:rFonts w:asciiTheme="minorHAnsi" w:hAnsiTheme="minorHAnsi" w:cstheme="minorHAnsi"/>
          <w:color w:val="4F81BD" w:themeColor="accent1"/>
        </w:rPr>
        <w:t>Recent changes in testing frequency are also expected to reduce potential conflicts. Performance testing will occur once every 6,000 tons, TSR testing once every 12,000 tons, and volumetric testing once every 1,500 tons. Volumetric testing is not time sensitive, and TSR samples may be taken and tested the following day if needed, further reducing the likelihood of testing conflicts.</w:t>
      </w:r>
    </w:p>
    <w:p w14:paraId="2C4B5E38" w14:textId="1F38D646" w:rsidR="00917AED" w:rsidRPr="00500F1A" w:rsidRDefault="00917AED" w:rsidP="00973F6A"/>
    <w:p w14:paraId="511E92C1" w14:textId="77777777" w:rsidR="0009072E" w:rsidRDefault="0009072E" w:rsidP="003511DD">
      <w:pPr>
        <w:pStyle w:val="ListParagraph"/>
        <w:numPr>
          <w:ilvl w:val="0"/>
          <w:numId w:val="9"/>
        </w:numPr>
        <w:ind w:left="450" w:firstLine="0"/>
        <w:rPr>
          <w:rFonts w:asciiTheme="minorHAnsi" w:hAnsiTheme="minorHAnsi" w:cstheme="minorHAnsi"/>
        </w:rPr>
      </w:pPr>
      <w:r>
        <w:rPr>
          <w:rFonts w:asciiTheme="minorHAnsi" w:hAnsiTheme="minorHAnsi" w:cstheme="minorHAnsi"/>
        </w:rPr>
        <w:t>ICART Profiler Certification Update</w:t>
      </w:r>
    </w:p>
    <w:p w14:paraId="129877F6" w14:textId="77777777" w:rsidR="00BE4923" w:rsidRDefault="00BE4923" w:rsidP="00BE4923">
      <w:pPr>
        <w:rPr>
          <w:rFonts w:asciiTheme="minorHAnsi" w:hAnsiTheme="minorHAnsi" w:cstheme="minorHAnsi"/>
        </w:rPr>
      </w:pPr>
    </w:p>
    <w:p w14:paraId="0CCECF59" w14:textId="77777777" w:rsidR="00BE4923" w:rsidRPr="00BE4923" w:rsidRDefault="00BE4923" w:rsidP="00BE4923">
      <w:pPr>
        <w:ind w:left="720"/>
        <w:rPr>
          <w:rFonts w:asciiTheme="minorHAnsi" w:hAnsiTheme="minorHAnsi" w:cstheme="minorHAnsi"/>
          <w:color w:val="4F81BD" w:themeColor="accent1"/>
        </w:rPr>
      </w:pPr>
      <w:r w:rsidRPr="00BE4923">
        <w:rPr>
          <w:rFonts w:asciiTheme="minorHAnsi" w:hAnsiTheme="minorHAnsi" w:cstheme="minorHAnsi"/>
          <w:color w:val="4F81BD" w:themeColor="accent1"/>
        </w:rPr>
        <w:t>Certification at the Illinois Certification and Research Track (ICART) in Trenton, IL will include Dense Graded HMA and Diamond Ground CRCP sections, with a Longitudinal Tined JPCP section available as an optional segment for informational purposes. Certification runs will consist of 10 runs per section, including five runs at 25 mph and five runs at 50 mph. Participants may collect up to eight runs per speed, with the best five runs selected based on repeatability and accuracy.</w:t>
      </w:r>
    </w:p>
    <w:p w14:paraId="74F545A5" w14:textId="77777777" w:rsidR="00BE4923" w:rsidRPr="00BE4923" w:rsidRDefault="00BE4923" w:rsidP="00BE4923">
      <w:pPr>
        <w:ind w:left="720"/>
        <w:rPr>
          <w:rFonts w:asciiTheme="minorHAnsi" w:hAnsiTheme="minorHAnsi" w:cstheme="minorHAnsi"/>
          <w:color w:val="4F81BD" w:themeColor="accent1"/>
        </w:rPr>
      </w:pPr>
    </w:p>
    <w:p w14:paraId="007DD39D" w14:textId="77777777" w:rsidR="00BE4923" w:rsidRPr="00BE4923" w:rsidRDefault="00BE4923" w:rsidP="00BE4923">
      <w:pPr>
        <w:ind w:left="720"/>
        <w:rPr>
          <w:rFonts w:asciiTheme="minorHAnsi" w:hAnsiTheme="minorHAnsi" w:cstheme="minorHAnsi"/>
          <w:color w:val="4F81BD" w:themeColor="accent1"/>
        </w:rPr>
      </w:pPr>
      <w:r w:rsidRPr="00BE4923">
        <w:rPr>
          <w:rFonts w:asciiTheme="minorHAnsi" w:hAnsiTheme="minorHAnsi" w:cstheme="minorHAnsi"/>
          <w:color w:val="4F81BD" w:themeColor="accent1"/>
        </w:rPr>
        <w:t>The updated schedule designates Monday through Wednesday for Traditional and Lightweight Profilers, with Zero Speed Profilers having the option to forgo certification. Thursday is reserved for Stop-and-Go Profilers, and Friday will be closed for the collection of new reference profiles. The track will also be closed during the weeks of April 27 through May 1 for RPUG activities and May 25 through May 29.</w:t>
      </w:r>
    </w:p>
    <w:p w14:paraId="762BED7F" w14:textId="77777777" w:rsidR="00BE4923" w:rsidRPr="00BE4923" w:rsidRDefault="00BE4923" w:rsidP="00BE4923">
      <w:pPr>
        <w:ind w:left="720"/>
        <w:rPr>
          <w:rFonts w:asciiTheme="minorHAnsi" w:hAnsiTheme="minorHAnsi" w:cstheme="minorHAnsi"/>
          <w:color w:val="4F81BD" w:themeColor="accent1"/>
        </w:rPr>
      </w:pPr>
    </w:p>
    <w:p w14:paraId="02D186D0" w14:textId="351A6B27" w:rsidR="00BE4923" w:rsidRDefault="00BE4923" w:rsidP="00BE4923">
      <w:pPr>
        <w:ind w:left="720"/>
        <w:rPr>
          <w:rFonts w:asciiTheme="minorHAnsi" w:hAnsiTheme="minorHAnsi" w:cstheme="minorHAnsi"/>
        </w:rPr>
      </w:pPr>
      <w:r w:rsidRPr="00BE4923">
        <w:rPr>
          <w:rFonts w:asciiTheme="minorHAnsi" w:hAnsiTheme="minorHAnsi" w:cstheme="minorHAnsi"/>
          <w:color w:val="4F81BD" w:themeColor="accent1"/>
        </w:rPr>
        <w:t xml:space="preserve">Scheduling information and registration are available at: </w:t>
      </w:r>
      <w:hyperlink r:id="rId8" w:history="1">
        <w:r w:rsidRPr="00241196">
          <w:rPr>
            <w:rStyle w:val="Hyperlink"/>
            <w:rFonts w:asciiTheme="minorHAnsi" w:hAnsiTheme="minorHAnsi" w:cstheme="minorHAnsi"/>
          </w:rPr>
          <w:t>https://icart.setmore.com/</w:t>
        </w:r>
      </w:hyperlink>
    </w:p>
    <w:p w14:paraId="2B358F3E" w14:textId="77777777" w:rsidR="00BE4923" w:rsidRPr="00BE4923" w:rsidRDefault="00BE4923" w:rsidP="00BE4923">
      <w:pPr>
        <w:ind w:left="720"/>
        <w:rPr>
          <w:rFonts w:asciiTheme="minorHAnsi" w:hAnsiTheme="minorHAnsi" w:cstheme="minorHAnsi"/>
        </w:rPr>
      </w:pPr>
    </w:p>
    <w:p w14:paraId="7AEAB2AF" w14:textId="77777777" w:rsidR="0009072E" w:rsidRDefault="0009072E" w:rsidP="0009072E">
      <w:pPr>
        <w:pStyle w:val="ListParagraph"/>
        <w:ind w:left="360"/>
        <w:rPr>
          <w:rFonts w:asciiTheme="minorHAnsi" w:hAnsiTheme="minorHAnsi" w:cstheme="minorHAnsi"/>
        </w:rPr>
      </w:pPr>
    </w:p>
    <w:p w14:paraId="3CF1E0B8" w14:textId="1CBB2BFC" w:rsidR="004268FE" w:rsidRDefault="004268FE" w:rsidP="003511DD">
      <w:pPr>
        <w:pStyle w:val="ListParagraph"/>
        <w:numPr>
          <w:ilvl w:val="0"/>
          <w:numId w:val="9"/>
        </w:numPr>
        <w:ind w:firstLine="90"/>
      </w:pPr>
      <w:r>
        <w:t>Bidder’s list summary submittal timing (post-letting submission option</w:t>
      </w:r>
      <w:r w:rsidR="00455349">
        <w:t>)</w:t>
      </w:r>
    </w:p>
    <w:p w14:paraId="4FF6D0DD" w14:textId="77777777" w:rsidR="00455349" w:rsidRDefault="00455349" w:rsidP="00455349"/>
    <w:p w14:paraId="423AB505" w14:textId="77777777" w:rsidR="00455349" w:rsidRPr="00455349" w:rsidRDefault="00455349" w:rsidP="00455349">
      <w:pPr>
        <w:ind w:left="720"/>
        <w:rPr>
          <w:color w:val="4F81BD" w:themeColor="accent1"/>
        </w:rPr>
      </w:pPr>
      <w:r w:rsidRPr="00455349">
        <w:rPr>
          <w:color w:val="4F81BD" w:themeColor="accent1"/>
        </w:rPr>
        <w:t>A request was discussed regarding whether the bidder’s list submission deadline could be moved from the time of bid to a later date. MoDOT confirmed that the bidder’s list information must continue to be submitted at the time of bid.</w:t>
      </w:r>
    </w:p>
    <w:p w14:paraId="613F546F" w14:textId="77777777" w:rsidR="00455349" w:rsidRPr="00455349" w:rsidRDefault="00455349" w:rsidP="00455349">
      <w:pPr>
        <w:ind w:left="720"/>
        <w:rPr>
          <w:color w:val="4F81BD" w:themeColor="accent1"/>
        </w:rPr>
      </w:pPr>
    </w:p>
    <w:p w14:paraId="55971B70" w14:textId="77777777" w:rsidR="00455349" w:rsidRPr="00455349" w:rsidRDefault="00455349" w:rsidP="00455349">
      <w:pPr>
        <w:ind w:left="720"/>
        <w:rPr>
          <w:color w:val="4F81BD" w:themeColor="accent1"/>
        </w:rPr>
      </w:pPr>
      <w:r w:rsidRPr="00455349">
        <w:rPr>
          <w:color w:val="4F81BD" w:themeColor="accent1"/>
        </w:rPr>
        <w:lastRenderedPageBreak/>
        <w:t>This requirement stems from revisions included in the May 2024 DBE Final Rule, which changed the language governing bidder’s list data collection. Prior to that rulemaking, agencies were permitted to collect bidder’s list information either before or after the bid due date, allowing MoDOT to accept submissions later in the letting cycle. However, the revised rule now requires bidder’s list information to be submitted with bids or initial responses to negotiated procurements, eliminating flexibility in submission timing.</w:t>
      </w:r>
    </w:p>
    <w:p w14:paraId="21046DDB" w14:textId="77777777" w:rsidR="00455349" w:rsidRPr="00455349" w:rsidRDefault="00455349" w:rsidP="00455349">
      <w:pPr>
        <w:ind w:left="720"/>
        <w:rPr>
          <w:color w:val="4F81BD" w:themeColor="accent1"/>
        </w:rPr>
      </w:pPr>
    </w:p>
    <w:p w14:paraId="097775B9" w14:textId="41F7400D" w:rsidR="00455349" w:rsidRPr="00455349" w:rsidRDefault="00455349" w:rsidP="00455349">
      <w:pPr>
        <w:ind w:left="720"/>
        <w:rPr>
          <w:color w:val="4F81BD" w:themeColor="accent1"/>
        </w:rPr>
      </w:pPr>
      <w:r w:rsidRPr="00455349">
        <w:rPr>
          <w:color w:val="4F81BD" w:themeColor="accent1"/>
        </w:rPr>
        <w:t xml:space="preserve">MoDOT has sought clarification from FHWA multiple times and has consistently been advised that bidder’s list submissions must be collected at the time of bid. Furthermore, the DBE Interim Final Rule that became effective October 3, </w:t>
      </w:r>
      <w:proofErr w:type="gramStart"/>
      <w:r w:rsidRPr="00455349">
        <w:rPr>
          <w:color w:val="4F81BD" w:themeColor="accent1"/>
        </w:rPr>
        <w:t>2025</w:t>
      </w:r>
      <w:proofErr w:type="gramEnd"/>
      <w:r w:rsidRPr="00455349">
        <w:rPr>
          <w:color w:val="4F81BD" w:themeColor="accent1"/>
        </w:rPr>
        <w:t xml:space="preserve"> made no changes to this requirement, so the submission timing remains unchanged.</w:t>
      </w:r>
    </w:p>
    <w:p w14:paraId="2646C5B7" w14:textId="04135E7D" w:rsidR="004268FE" w:rsidRDefault="004268FE" w:rsidP="004268FE">
      <w:pPr>
        <w:pStyle w:val="ListParagraph"/>
        <w:ind w:left="360"/>
      </w:pPr>
    </w:p>
    <w:p w14:paraId="041BD347" w14:textId="77777777" w:rsidR="004268FE" w:rsidRDefault="004268FE" w:rsidP="003511DD">
      <w:pPr>
        <w:pStyle w:val="ListParagraph"/>
        <w:numPr>
          <w:ilvl w:val="0"/>
          <w:numId w:val="9"/>
        </w:numPr>
        <w:ind w:firstLine="90"/>
      </w:pPr>
      <w:r>
        <w:t>Reflectivity requirements on surface treatments</w:t>
      </w:r>
    </w:p>
    <w:p w14:paraId="629F7053" w14:textId="77777777" w:rsidR="00F44286" w:rsidRDefault="00F44286" w:rsidP="00F44286"/>
    <w:p w14:paraId="533B26B0" w14:textId="77777777" w:rsidR="00F44286" w:rsidRPr="00F44286" w:rsidRDefault="00F44286" w:rsidP="00F44286">
      <w:pPr>
        <w:ind w:left="720"/>
        <w:rPr>
          <w:color w:val="4F81BD" w:themeColor="accent1"/>
        </w:rPr>
      </w:pPr>
      <w:r w:rsidRPr="00F44286">
        <w:rPr>
          <w:color w:val="4F81BD" w:themeColor="accent1"/>
        </w:rPr>
        <w:t>Challenges were discussed regarding achieving required retro-reflectivity when striping over surface treatments such as surface seals and high-friction surface treatments. For high-friction surface treatment sections, striping operations can be slowed or completed in two passes to improve results; however, because these sections are typically short, it is likely not cost effective to administer separate retro-</w:t>
      </w:r>
      <w:proofErr w:type="gramStart"/>
      <w:r w:rsidRPr="00F44286">
        <w:rPr>
          <w:color w:val="4F81BD" w:themeColor="accent1"/>
        </w:rPr>
        <w:t>reflectivity</w:t>
      </w:r>
      <w:proofErr w:type="gramEnd"/>
      <w:r w:rsidRPr="00F44286">
        <w:rPr>
          <w:color w:val="4F81BD" w:themeColor="accent1"/>
        </w:rPr>
        <w:t xml:space="preserve"> requirements. Existing specifications already provide different retro-reflectivity requirements for chip seals (seal coats), but concerns remain for treatments such as scrub seals and sand seals. One potential approach is a two-pass operation, where temporary striping is placed initially and permanent striping is applied approximately 14 days later to achieve acceptable reflectivity.</w:t>
      </w:r>
    </w:p>
    <w:p w14:paraId="1F481C62" w14:textId="77777777" w:rsidR="00F44286" w:rsidRPr="00F44286" w:rsidRDefault="00F44286" w:rsidP="00F44286">
      <w:pPr>
        <w:ind w:left="720"/>
        <w:rPr>
          <w:color w:val="4F81BD" w:themeColor="accent1"/>
        </w:rPr>
      </w:pPr>
    </w:p>
    <w:p w14:paraId="2C75AB67" w14:textId="77777777" w:rsidR="00F44286" w:rsidRPr="00F44286" w:rsidRDefault="00F44286" w:rsidP="00F44286">
      <w:pPr>
        <w:ind w:left="720"/>
        <w:rPr>
          <w:color w:val="4F81BD" w:themeColor="accent1"/>
        </w:rPr>
      </w:pPr>
      <w:r w:rsidRPr="00F44286">
        <w:rPr>
          <w:color w:val="4F81BD" w:themeColor="accent1"/>
        </w:rPr>
        <w:t>MoDOT is also considering pavement marking options for micro-surfacing, scrub seals, sand seals, and possibly UBAWS. Potential approaches include various combinations of pay items along with the use of temporary paint followed by final striping. These options will be reviewed further by MoDOT Traffic and other staff.</w:t>
      </w:r>
    </w:p>
    <w:p w14:paraId="393D530E" w14:textId="77777777" w:rsidR="00F44286" w:rsidRDefault="00F44286" w:rsidP="00F44286">
      <w:pPr>
        <w:ind w:left="720"/>
      </w:pPr>
    </w:p>
    <w:p w14:paraId="79057318" w14:textId="00A80240" w:rsidR="00F44286" w:rsidRPr="00F44286" w:rsidRDefault="00F44286" w:rsidP="00F44286">
      <w:pPr>
        <w:ind w:left="720"/>
        <w:rPr>
          <w:color w:val="EE0000"/>
        </w:rPr>
      </w:pPr>
      <w:r w:rsidRPr="00F44286">
        <w:rPr>
          <w:b/>
          <w:bCs/>
          <w:color w:val="EE0000"/>
        </w:rPr>
        <w:t>Action Item:</w:t>
      </w:r>
      <w:r w:rsidRPr="00F44286">
        <w:rPr>
          <w:color w:val="EE0000"/>
        </w:rPr>
        <w:t xml:space="preserve"> MoDOT will review pavement marking options and potential specification or pay item adjustments with Traffic and other staff and report back with recommendations.</w:t>
      </w:r>
    </w:p>
    <w:p w14:paraId="3A84FD72" w14:textId="3F980BA6" w:rsidR="004268FE" w:rsidRDefault="004268FE" w:rsidP="004268FE">
      <w:pPr>
        <w:pStyle w:val="ListParagraph"/>
        <w:ind w:left="360"/>
      </w:pPr>
    </w:p>
    <w:p w14:paraId="73EB7DF0" w14:textId="1707D546" w:rsidR="00917AED" w:rsidRDefault="00B80CD6" w:rsidP="003511DD">
      <w:pPr>
        <w:pStyle w:val="ListParagraph"/>
        <w:numPr>
          <w:ilvl w:val="0"/>
          <w:numId w:val="9"/>
        </w:numPr>
        <w:ind w:firstLine="90"/>
        <w:rPr>
          <w:rFonts w:asciiTheme="minorHAnsi" w:hAnsiTheme="minorHAnsi" w:cstheme="minorHAnsi"/>
        </w:rPr>
      </w:pPr>
      <w:r w:rsidRPr="00F942DB">
        <w:rPr>
          <w:rFonts w:asciiTheme="minorHAnsi" w:hAnsiTheme="minorHAnsi" w:cstheme="minorHAnsi"/>
        </w:rPr>
        <w:t>Other Items</w:t>
      </w:r>
    </w:p>
    <w:p w14:paraId="2B8C1248" w14:textId="77777777" w:rsidR="002B7A68" w:rsidRDefault="002B7A68" w:rsidP="002B7A68">
      <w:pPr>
        <w:rPr>
          <w:rFonts w:asciiTheme="minorHAnsi" w:hAnsiTheme="minorHAnsi" w:cstheme="minorHAnsi"/>
        </w:rPr>
      </w:pPr>
    </w:p>
    <w:p w14:paraId="489F1F50" w14:textId="6D87BC06" w:rsidR="002B7A68" w:rsidRPr="002B7A68" w:rsidRDefault="002B7A68" w:rsidP="002B7A68">
      <w:pPr>
        <w:ind w:left="720"/>
        <w:rPr>
          <w:rFonts w:asciiTheme="minorHAnsi" w:hAnsiTheme="minorHAnsi" w:cstheme="minorHAnsi"/>
          <w:color w:val="4F81BD" w:themeColor="accent1"/>
        </w:rPr>
      </w:pPr>
      <w:r w:rsidRPr="002B7A68">
        <w:rPr>
          <w:rFonts w:asciiTheme="minorHAnsi" w:hAnsiTheme="minorHAnsi" w:cstheme="minorHAnsi"/>
          <w:color w:val="4F81BD" w:themeColor="accent1"/>
        </w:rPr>
        <w:t>MoDOT’s Chemical Laboratory is in the process of acquiring an automatic binder extraction unit to perform AASHTO T 164 testing using TCE. In addition, CAPRI currently has a study underway to evaluate potential replacements for TCE.</w:t>
      </w:r>
    </w:p>
    <w:p w14:paraId="25187276" w14:textId="77777777" w:rsidR="007217B6" w:rsidRPr="007217B6" w:rsidRDefault="007217B6" w:rsidP="007217B6">
      <w:pPr>
        <w:pStyle w:val="ListParagraph"/>
        <w:rPr>
          <w:rFonts w:asciiTheme="minorHAnsi" w:hAnsiTheme="minorHAnsi" w:cstheme="minorHAnsi"/>
        </w:rPr>
      </w:pPr>
    </w:p>
    <w:p w14:paraId="5D046314" w14:textId="77777777" w:rsidR="007217B6" w:rsidRDefault="007217B6" w:rsidP="007217B6">
      <w:pPr>
        <w:ind w:firstLine="450"/>
      </w:pPr>
      <w:r>
        <w:rPr>
          <w:b/>
          <w:bCs/>
        </w:rPr>
        <w:t>Upcoming Events:</w:t>
      </w:r>
    </w:p>
    <w:p w14:paraId="0C59D31B" w14:textId="77777777" w:rsidR="007217B6" w:rsidRDefault="007217B6" w:rsidP="007217B6">
      <w:pPr>
        <w:ind w:left="450"/>
      </w:pPr>
      <w:r>
        <w:t xml:space="preserve">MAPA Spring Training – February 11 – 12 </w:t>
      </w:r>
    </w:p>
    <w:p w14:paraId="2ECA61D8" w14:textId="77777777" w:rsidR="007217B6" w:rsidRPr="00F942DB" w:rsidRDefault="007217B6" w:rsidP="007217B6">
      <w:pPr>
        <w:pStyle w:val="ListParagraph"/>
        <w:ind w:left="450"/>
        <w:rPr>
          <w:rFonts w:asciiTheme="minorHAnsi" w:hAnsiTheme="minorHAnsi" w:cstheme="minorHAnsi"/>
        </w:rPr>
      </w:pPr>
    </w:p>
    <w:p w14:paraId="71B828B6" w14:textId="77777777" w:rsidR="00F77F41" w:rsidRPr="00F942DB" w:rsidRDefault="00F77F41" w:rsidP="00F77F41">
      <w:pPr>
        <w:pStyle w:val="ListParagraph"/>
        <w:rPr>
          <w:rFonts w:asciiTheme="minorHAnsi" w:hAnsiTheme="minorHAnsi" w:cstheme="minorHAnsi"/>
        </w:rPr>
      </w:pPr>
    </w:p>
    <w:p w14:paraId="72E2CA1B" w14:textId="3B0F1050" w:rsidR="001F71A9" w:rsidRPr="00F942DB" w:rsidRDefault="001F71A9" w:rsidP="003511DD">
      <w:pPr>
        <w:ind w:firstLine="450"/>
        <w:rPr>
          <w:rFonts w:asciiTheme="minorHAnsi" w:hAnsiTheme="minorHAnsi" w:cstheme="minorHAnsi"/>
          <w:b/>
        </w:rPr>
      </w:pPr>
      <w:r w:rsidRPr="00F942DB">
        <w:rPr>
          <w:rFonts w:asciiTheme="minorHAnsi" w:hAnsiTheme="minorHAnsi" w:cstheme="minorHAnsi"/>
          <w:b/>
        </w:rPr>
        <w:t>NEXT MAPA / MoDOT Quarterly Meeting</w:t>
      </w:r>
    </w:p>
    <w:p w14:paraId="01705BCF" w14:textId="4A4D3E56" w:rsidR="001F71A9" w:rsidRPr="00F942DB" w:rsidRDefault="005E0405" w:rsidP="003511DD">
      <w:pPr>
        <w:ind w:firstLine="450"/>
        <w:rPr>
          <w:rFonts w:asciiTheme="minorHAnsi" w:hAnsiTheme="minorHAnsi" w:cstheme="minorHAnsi"/>
          <w:b/>
        </w:rPr>
      </w:pPr>
      <w:r>
        <w:rPr>
          <w:rFonts w:asciiTheme="minorHAnsi" w:hAnsiTheme="minorHAnsi" w:cstheme="minorHAnsi"/>
          <w:b/>
        </w:rPr>
        <w:t>May</w:t>
      </w:r>
      <w:r w:rsidR="00932354">
        <w:rPr>
          <w:rFonts w:asciiTheme="minorHAnsi" w:hAnsiTheme="minorHAnsi" w:cstheme="minorHAnsi"/>
          <w:b/>
        </w:rPr>
        <w:t xml:space="preserve"> 5</w:t>
      </w:r>
      <w:r w:rsidR="00152772">
        <w:rPr>
          <w:rFonts w:asciiTheme="minorHAnsi" w:hAnsiTheme="minorHAnsi" w:cstheme="minorHAnsi"/>
          <w:b/>
        </w:rPr>
        <w:t>,</w:t>
      </w:r>
      <w:r w:rsidR="001F71A9" w:rsidRPr="00F942DB">
        <w:rPr>
          <w:rFonts w:asciiTheme="minorHAnsi" w:hAnsiTheme="minorHAnsi" w:cstheme="minorHAnsi"/>
          <w:b/>
        </w:rPr>
        <w:t xml:space="preserve"> 202</w:t>
      </w:r>
      <w:r w:rsidR="00932354">
        <w:rPr>
          <w:rFonts w:asciiTheme="minorHAnsi" w:hAnsiTheme="minorHAnsi" w:cstheme="minorHAnsi"/>
          <w:b/>
        </w:rPr>
        <w:t>6</w:t>
      </w:r>
      <w:r w:rsidR="001F71A9" w:rsidRPr="00F942DB">
        <w:rPr>
          <w:rFonts w:asciiTheme="minorHAnsi" w:hAnsiTheme="minorHAnsi" w:cstheme="minorHAnsi"/>
          <w:b/>
        </w:rPr>
        <w:t xml:space="preserve"> / 1:00 – 3:00 p.m.</w:t>
      </w:r>
    </w:p>
    <w:p w14:paraId="4E7EBA30" w14:textId="77777777" w:rsidR="001F71A9" w:rsidRPr="00F942DB" w:rsidRDefault="001F71A9" w:rsidP="003511DD">
      <w:pPr>
        <w:ind w:firstLine="450"/>
        <w:rPr>
          <w:rFonts w:asciiTheme="minorHAnsi" w:hAnsiTheme="minorHAnsi" w:cstheme="minorHAnsi"/>
          <w:b/>
        </w:rPr>
      </w:pPr>
      <w:r w:rsidRPr="00F942DB">
        <w:rPr>
          <w:rFonts w:asciiTheme="minorHAnsi" w:hAnsiTheme="minorHAnsi" w:cstheme="minorHAnsi"/>
          <w:b/>
        </w:rPr>
        <w:t>Videoconference / In-person</w:t>
      </w:r>
    </w:p>
    <w:sectPr w:rsidR="001F71A9" w:rsidRPr="00F942DB"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121542"/>
    <w:multiLevelType w:val="hybridMultilevel"/>
    <w:tmpl w:val="9086F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476A45"/>
    <w:multiLevelType w:val="hybridMultilevel"/>
    <w:tmpl w:val="B89CC0CC"/>
    <w:lvl w:ilvl="0" w:tplc="DD1AB8AE">
      <w:start w:val="1"/>
      <w:numFmt w:val="decimal"/>
      <w:lvlText w:val="%1)"/>
      <w:lvlJc w:val="left"/>
      <w:pPr>
        <w:ind w:left="36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93CC1"/>
    <w:multiLevelType w:val="hybridMultilevel"/>
    <w:tmpl w:val="A2C4EC2A"/>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986419">
    <w:abstractNumId w:val="1"/>
  </w:num>
  <w:num w:numId="2" w16cid:durableId="1461459736">
    <w:abstractNumId w:val="8"/>
  </w:num>
  <w:num w:numId="3" w16cid:durableId="1759670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5"/>
  </w:num>
  <w:num w:numId="5" w16cid:durableId="101846563">
    <w:abstractNumId w:val="9"/>
  </w:num>
  <w:num w:numId="6" w16cid:durableId="9751379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10"/>
  </w:num>
  <w:num w:numId="8" w16cid:durableId="1866206969">
    <w:abstractNumId w:val="6"/>
  </w:num>
  <w:num w:numId="9" w16cid:durableId="1750346230">
    <w:abstractNumId w:val="3"/>
  </w:num>
  <w:num w:numId="10" w16cid:durableId="1911042517">
    <w:abstractNumId w:val="4"/>
  </w:num>
  <w:num w:numId="11" w16cid:durableId="1768845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27B6A"/>
    <w:rsid w:val="00031F0E"/>
    <w:rsid w:val="00033755"/>
    <w:rsid w:val="00033EFE"/>
    <w:rsid w:val="0003515C"/>
    <w:rsid w:val="000354C3"/>
    <w:rsid w:val="00036BBD"/>
    <w:rsid w:val="00041D3D"/>
    <w:rsid w:val="00044FC5"/>
    <w:rsid w:val="00046698"/>
    <w:rsid w:val="00050F2B"/>
    <w:rsid w:val="00052E36"/>
    <w:rsid w:val="00053C62"/>
    <w:rsid w:val="00061BA6"/>
    <w:rsid w:val="00062938"/>
    <w:rsid w:val="00064C54"/>
    <w:rsid w:val="000705C1"/>
    <w:rsid w:val="00082752"/>
    <w:rsid w:val="00082CA1"/>
    <w:rsid w:val="0008300A"/>
    <w:rsid w:val="0008547B"/>
    <w:rsid w:val="00085EFC"/>
    <w:rsid w:val="000900EA"/>
    <w:rsid w:val="0009072E"/>
    <w:rsid w:val="00097CF0"/>
    <w:rsid w:val="000C0F9E"/>
    <w:rsid w:val="000C4816"/>
    <w:rsid w:val="000C5A50"/>
    <w:rsid w:val="000D4A90"/>
    <w:rsid w:val="000E45BB"/>
    <w:rsid w:val="000F0942"/>
    <w:rsid w:val="001004BD"/>
    <w:rsid w:val="0010184D"/>
    <w:rsid w:val="00106B72"/>
    <w:rsid w:val="00111BE2"/>
    <w:rsid w:val="00114B02"/>
    <w:rsid w:val="00114BEC"/>
    <w:rsid w:val="00120591"/>
    <w:rsid w:val="001270D9"/>
    <w:rsid w:val="00130031"/>
    <w:rsid w:val="00130CD9"/>
    <w:rsid w:val="00130F32"/>
    <w:rsid w:val="001319EF"/>
    <w:rsid w:val="00132A73"/>
    <w:rsid w:val="00133159"/>
    <w:rsid w:val="0013562F"/>
    <w:rsid w:val="00140A81"/>
    <w:rsid w:val="00145DD6"/>
    <w:rsid w:val="001506A6"/>
    <w:rsid w:val="00152772"/>
    <w:rsid w:val="00153231"/>
    <w:rsid w:val="00153A8E"/>
    <w:rsid w:val="00155048"/>
    <w:rsid w:val="00155332"/>
    <w:rsid w:val="00160E0F"/>
    <w:rsid w:val="00171649"/>
    <w:rsid w:val="001718CB"/>
    <w:rsid w:val="00173D7F"/>
    <w:rsid w:val="001876A5"/>
    <w:rsid w:val="001879BE"/>
    <w:rsid w:val="00191F21"/>
    <w:rsid w:val="00194FBC"/>
    <w:rsid w:val="001A493D"/>
    <w:rsid w:val="001A695C"/>
    <w:rsid w:val="001A7116"/>
    <w:rsid w:val="001A7930"/>
    <w:rsid w:val="001B1B77"/>
    <w:rsid w:val="001B30E0"/>
    <w:rsid w:val="001B59AE"/>
    <w:rsid w:val="001C0DF9"/>
    <w:rsid w:val="001C3C13"/>
    <w:rsid w:val="001C5243"/>
    <w:rsid w:val="001D64B1"/>
    <w:rsid w:val="001E2981"/>
    <w:rsid w:val="001F1097"/>
    <w:rsid w:val="001F3EBF"/>
    <w:rsid w:val="001F4C84"/>
    <w:rsid w:val="001F71A9"/>
    <w:rsid w:val="001F7E84"/>
    <w:rsid w:val="00201595"/>
    <w:rsid w:val="002035C8"/>
    <w:rsid w:val="00203800"/>
    <w:rsid w:val="00203AC9"/>
    <w:rsid w:val="00212318"/>
    <w:rsid w:val="0021333A"/>
    <w:rsid w:val="002145C3"/>
    <w:rsid w:val="0021675D"/>
    <w:rsid w:val="002206B9"/>
    <w:rsid w:val="00221082"/>
    <w:rsid w:val="00221F0E"/>
    <w:rsid w:val="0023200E"/>
    <w:rsid w:val="002359B4"/>
    <w:rsid w:val="00235F85"/>
    <w:rsid w:val="00237A25"/>
    <w:rsid w:val="00237A5D"/>
    <w:rsid w:val="00241E56"/>
    <w:rsid w:val="0024254C"/>
    <w:rsid w:val="00242A56"/>
    <w:rsid w:val="00243BDC"/>
    <w:rsid w:val="002549AF"/>
    <w:rsid w:val="00257C85"/>
    <w:rsid w:val="00257D8B"/>
    <w:rsid w:val="0026128C"/>
    <w:rsid w:val="00267D7B"/>
    <w:rsid w:val="00270173"/>
    <w:rsid w:val="00285085"/>
    <w:rsid w:val="00290C73"/>
    <w:rsid w:val="00293383"/>
    <w:rsid w:val="00297501"/>
    <w:rsid w:val="00297DDE"/>
    <w:rsid w:val="002A15C2"/>
    <w:rsid w:val="002B7A68"/>
    <w:rsid w:val="002C023F"/>
    <w:rsid w:val="002C1E7D"/>
    <w:rsid w:val="002C5890"/>
    <w:rsid w:val="002D4266"/>
    <w:rsid w:val="002E17C4"/>
    <w:rsid w:val="002E45E7"/>
    <w:rsid w:val="002E6C05"/>
    <w:rsid w:val="002F6758"/>
    <w:rsid w:val="00317640"/>
    <w:rsid w:val="0032257B"/>
    <w:rsid w:val="003249D5"/>
    <w:rsid w:val="003266E9"/>
    <w:rsid w:val="003269AB"/>
    <w:rsid w:val="00330D1C"/>
    <w:rsid w:val="0033388F"/>
    <w:rsid w:val="003454B3"/>
    <w:rsid w:val="00347716"/>
    <w:rsid w:val="00350059"/>
    <w:rsid w:val="003511DD"/>
    <w:rsid w:val="003526FF"/>
    <w:rsid w:val="00354F0A"/>
    <w:rsid w:val="00361304"/>
    <w:rsid w:val="00366A35"/>
    <w:rsid w:val="00380902"/>
    <w:rsid w:val="00381010"/>
    <w:rsid w:val="003856EB"/>
    <w:rsid w:val="00390042"/>
    <w:rsid w:val="003901A5"/>
    <w:rsid w:val="00392F72"/>
    <w:rsid w:val="00395514"/>
    <w:rsid w:val="003979ED"/>
    <w:rsid w:val="003A68D0"/>
    <w:rsid w:val="003A7B88"/>
    <w:rsid w:val="003B1CB5"/>
    <w:rsid w:val="003B26D0"/>
    <w:rsid w:val="003B4DC9"/>
    <w:rsid w:val="003B5B3A"/>
    <w:rsid w:val="003C07AF"/>
    <w:rsid w:val="003C35FC"/>
    <w:rsid w:val="003C3C0C"/>
    <w:rsid w:val="003C7008"/>
    <w:rsid w:val="003D0BBF"/>
    <w:rsid w:val="003D3162"/>
    <w:rsid w:val="003D4315"/>
    <w:rsid w:val="003D7B5E"/>
    <w:rsid w:val="003D7C07"/>
    <w:rsid w:val="003F1477"/>
    <w:rsid w:val="003F63D8"/>
    <w:rsid w:val="00403F68"/>
    <w:rsid w:val="00413351"/>
    <w:rsid w:val="00416F6C"/>
    <w:rsid w:val="0042234A"/>
    <w:rsid w:val="00424D4C"/>
    <w:rsid w:val="004268FE"/>
    <w:rsid w:val="004366C4"/>
    <w:rsid w:val="00446915"/>
    <w:rsid w:val="004533F9"/>
    <w:rsid w:val="00455349"/>
    <w:rsid w:val="00456506"/>
    <w:rsid w:val="004726DF"/>
    <w:rsid w:val="004752C6"/>
    <w:rsid w:val="00475E10"/>
    <w:rsid w:val="004768C5"/>
    <w:rsid w:val="0048039B"/>
    <w:rsid w:val="004829F0"/>
    <w:rsid w:val="00484FE6"/>
    <w:rsid w:val="00486293"/>
    <w:rsid w:val="0049204C"/>
    <w:rsid w:val="00493D57"/>
    <w:rsid w:val="004B3643"/>
    <w:rsid w:val="004B715E"/>
    <w:rsid w:val="004C0950"/>
    <w:rsid w:val="004C496E"/>
    <w:rsid w:val="004C5C9D"/>
    <w:rsid w:val="004D2DF6"/>
    <w:rsid w:val="004D3663"/>
    <w:rsid w:val="004D4F1D"/>
    <w:rsid w:val="004D524F"/>
    <w:rsid w:val="004D7F37"/>
    <w:rsid w:val="004F7D38"/>
    <w:rsid w:val="00500F1A"/>
    <w:rsid w:val="00501A93"/>
    <w:rsid w:val="00502638"/>
    <w:rsid w:val="00510E66"/>
    <w:rsid w:val="00512121"/>
    <w:rsid w:val="00514591"/>
    <w:rsid w:val="00514EF3"/>
    <w:rsid w:val="00514F77"/>
    <w:rsid w:val="00515D89"/>
    <w:rsid w:val="00534809"/>
    <w:rsid w:val="00534DD4"/>
    <w:rsid w:val="00535D57"/>
    <w:rsid w:val="0054070D"/>
    <w:rsid w:val="005428A1"/>
    <w:rsid w:val="00543BF8"/>
    <w:rsid w:val="00560A45"/>
    <w:rsid w:val="005669D3"/>
    <w:rsid w:val="00577EC0"/>
    <w:rsid w:val="00581552"/>
    <w:rsid w:val="00582EF9"/>
    <w:rsid w:val="0058677D"/>
    <w:rsid w:val="00586EA7"/>
    <w:rsid w:val="00592492"/>
    <w:rsid w:val="005A593B"/>
    <w:rsid w:val="005A5BD3"/>
    <w:rsid w:val="005B40EB"/>
    <w:rsid w:val="005C002B"/>
    <w:rsid w:val="005C55AD"/>
    <w:rsid w:val="005D3663"/>
    <w:rsid w:val="005D606F"/>
    <w:rsid w:val="005E02A0"/>
    <w:rsid w:val="005E0405"/>
    <w:rsid w:val="005E0656"/>
    <w:rsid w:val="005E1701"/>
    <w:rsid w:val="005F3653"/>
    <w:rsid w:val="005F3BEC"/>
    <w:rsid w:val="005F492D"/>
    <w:rsid w:val="0060163C"/>
    <w:rsid w:val="00601D7D"/>
    <w:rsid w:val="00611D92"/>
    <w:rsid w:val="0061473E"/>
    <w:rsid w:val="00614F68"/>
    <w:rsid w:val="0062112A"/>
    <w:rsid w:val="00631699"/>
    <w:rsid w:val="006321C4"/>
    <w:rsid w:val="00633A19"/>
    <w:rsid w:val="006341E6"/>
    <w:rsid w:val="006361E4"/>
    <w:rsid w:val="00643E72"/>
    <w:rsid w:val="006447D3"/>
    <w:rsid w:val="00644D2C"/>
    <w:rsid w:val="0064693E"/>
    <w:rsid w:val="00647324"/>
    <w:rsid w:val="00647B1D"/>
    <w:rsid w:val="006511A5"/>
    <w:rsid w:val="0066599E"/>
    <w:rsid w:val="00667475"/>
    <w:rsid w:val="006679EC"/>
    <w:rsid w:val="00674526"/>
    <w:rsid w:val="006754E8"/>
    <w:rsid w:val="00681402"/>
    <w:rsid w:val="00697CB7"/>
    <w:rsid w:val="006A1941"/>
    <w:rsid w:val="006B2474"/>
    <w:rsid w:val="006D420E"/>
    <w:rsid w:val="006F078C"/>
    <w:rsid w:val="006F1951"/>
    <w:rsid w:val="006F45BB"/>
    <w:rsid w:val="007023B9"/>
    <w:rsid w:val="007061AF"/>
    <w:rsid w:val="00707217"/>
    <w:rsid w:val="00710EAD"/>
    <w:rsid w:val="007125AB"/>
    <w:rsid w:val="007125BF"/>
    <w:rsid w:val="00714CDB"/>
    <w:rsid w:val="00716930"/>
    <w:rsid w:val="007217B6"/>
    <w:rsid w:val="00723EC9"/>
    <w:rsid w:val="00732DD1"/>
    <w:rsid w:val="00733921"/>
    <w:rsid w:val="00736124"/>
    <w:rsid w:val="00740942"/>
    <w:rsid w:val="00741CCF"/>
    <w:rsid w:val="00742554"/>
    <w:rsid w:val="00742787"/>
    <w:rsid w:val="0075394A"/>
    <w:rsid w:val="0075473A"/>
    <w:rsid w:val="00757196"/>
    <w:rsid w:val="007673C4"/>
    <w:rsid w:val="00770C33"/>
    <w:rsid w:val="0077371A"/>
    <w:rsid w:val="00777415"/>
    <w:rsid w:val="00777F71"/>
    <w:rsid w:val="00781DB4"/>
    <w:rsid w:val="007834F7"/>
    <w:rsid w:val="00787A9E"/>
    <w:rsid w:val="00791931"/>
    <w:rsid w:val="00791D95"/>
    <w:rsid w:val="0079521B"/>
    <w:rsid w:val="007B0827"/>
    <w:rsid w:val="007B0884"/>
    <w:rsid w:val="007B47E3"/>
    <w:rsid w:val="007C0181"/>
    <w:rsid w:val="007C201D"/>
    <w:rsid w:val="007C2E5F"/>
    <w:rsid w:val="007D6BE5"/>
    <w:rsid w:val="007E0E07"/>
    <w:rsid w:val="007E3193"/>
    <w:rsid w:val="007E4CCF"/>
    <w:rsid w:val="007E7D9E"/>
    <w:rsid w:val="007F01CF"/>
    <w:rsid w:val="0080099E"/>
    <w:rsid w:val="00802E42"/>
    <w:rsid w:val="00811872"/>
    <w:rsid w:val="00813E28"/>
    <w:rsid w:val="0081565F"/>
    <w:rsid w:val="00826B03"/>
    <w:rsid w:val="008275F5"/>
    <w:rsid w:val="0083086A"/>
    <w:rsid w:val="00830CDF"/>
    <w:rsid w:val="0083316A"/>
    <w:rsid w:val="00852135"/>
    <w:rsid w:val="0085278C"/>
    <w:rsid w:val="008546D8"/>
    <w:rsid w:val="00864946"/>
    <w:rsid w:val="00873B81"/>
    <w:rsid w:val="00877E6E"/>
    <w:rsid w:val="00882FCD"/>
    <w:rsid w:val="008842DE"/>
    <w:rsid w:val="008857A3"/>
    <w:rsid w:val="00885F11"/>
    <w:rsid w:val="008861FC"/>
    <w:rsid w:val="00887F3C"/>
    <w:rsid w:val="00891691"/>
    <w:rsid w:val="008A562B"/>
    <w:rsid w:val="008A59B8"/>
    <w:rsid w:val="008B55FF"/>
    <w:rsid w:val="008C6E41"/>
    <w:rsid w:val="008E0999"/>
    <w:rsid w:val="008E52CE"/>
    <w:rsid w:val="0090427E"/>
    <w:rsid w:val="00904A64"/>
    <w:rsid w:val="00906E4D"/>
    <w:rsid w:val="00916CA9"/>
    <w:rsid w:val="00917AED"/>
    <w:rsid w:val="00923E20"/>
    <w:rsid w:val="00927FF8"/>
    <w:rsid w:val="00932354"/>
    <w:rsid w:val="00935CF6"/>
    <w:rsid w:val="00940876"/>
    <w:rsid w:val="009410C1"/>
    <w:rsid w:val="0094135C"/>
    <w:rsid w:val="00941861"/>
    <w:rsid w:val="00954ECF"/>
    <w:rsid w:val="00956A40"/>
    <w:rsid w:val="00956BF2"/>
    <w:rsid w:val="00957E62"/>
    <w:rsid w:val="00962D7E"/>
    <w:rsid w:val="00965E1D"/>
    <w:rsid w:val="00973F6A"/>
    <w:rsid w:val="00977B14"/>
    <w:rsid w:val="00986ADC"/>
    <w:rsid w:val="0098730B"/>
    <w:rsid w:val="00987BC6"/>
    <w:rsid w:val="00991913"/>
    <w:rsid w:val="00992ADC"/>
    <w:rsid w:val="00997E8B"/>
    <w:rsid w:val="009A0ABE"/>
    <w:rsid w:val="009A2486"/>
    <w:rsid w:val="009B13B1"/>
    <w:rsid w:val="009B7140"/>
    <w:rsid w:val="009B7ACB"/>
    <w:rsid w:val="009C4730"/>
    <w:rsid w:val="009D00D1"/>
    <w:rsid w:val="009D03AE"/>
    <w:rsid w:val="009D22A1"/>
    <w:rsid w:val="009D5646"/>
    <w:rsid w:val="009D5B5B"/>
    <w:rsid w:val="009E46F2"/>
    <w:rsid w:val="009F0A81"/>
    <w:rsid w:val="009F530F"/>
    <w:rsid w:val="009F7E32"/>
    <w:rsid w:val="00A01116"/>
    <w:rsid w:val="00A04257"/>
    <w:rsid w:val="00A06C04"/>
    <w:rsid w:val="00A10754"/>
    <w:rsid w:val="00A14CFB"/>
    <w:rsid w:val="00A31047"/>
    <w:rsid w:val="00A311CA"/>
    <w:rsid w:val="00A359EC"/>
    <w:rsid w:val="00A40314"/>
    <w:rsid w:val="00A4408C"/>
    <w:rsid w:val="00A50897"/>
    <w:rsid w:val="00A51CA3"/>
    <w:rsid w:val="00A520EC"/>
    <w:rsid w:val="00A551B3"/>
    <w:rsid w:val="00A56D7C"/>
    <w:rsid w:val="00A74E90"/>
    <w:rsid w:val="00A74F99"/>
    <w:rsid w:val="00A77AA2"/>
    <w:rsid w:val="00A8455C"/>
    <w:rsid w:val="00A86115"/>
    <w:rsid w:val="00A87E8F"/>
    <w:rsid w:val="00A92ADE"/>
    <w:rsid w:val="00A96459"/>
    <w:rsid w:val="00A971A4"/>
    <w:rsid w:val="00AA1C57"/>
    <w:rsid w:val="00AA3D82"/>
    <w:rsid w:val="00AA6211"/>
    <w:rsid w:val="00AB0F13"/>
    <w:rsid w:val="00AE0DB2"/>
    <w:rsid w:val="00AE7861"/>
    <w:rsid w:val="00AF1EDF"/>
    <w:rsid w:val="00AF4CB0"/>
    <w:rsid w:val="00AF6DE5"/>
    <w:rsid w:val="00B06C63"/>
    <w:rsid w:val="00B1046C"/>
    <w:rsid w:val="00B111ED"/>
    <w:rsid w:val="00B1256F"/>
    <w:rsid w:val="00B16429"/>
    <w:rsid w:val="00B34685"/>
    <w:rsid w:val="00B40726"/>
    <w:rsid w:val="00B40E73"/>
    <w:rsid w:val="00B426FC"/>
    <w:rsid w:val="00B430BD"/>
    <w:rsid w:val="00B45EB0"/>
    <w:rsid w:val="00B470BD"/>
    <w:rsid w:val="00B5136E"/>
    <w:rsid w:val="00B5195F"/>
    <w:rsid w:val="00B54316"/>
    <w:rsid w:val="00B577A9"/>
    <w:rsid w:val="00B7481D"/>
    <w:rsid w:val="00B7693C"/>
    <w:rsid w:val="00B77DF0"/>
    <w:rsid w:val="00B80CD6"/>
    <w:rsid w:val="00B83115"/>
    <w:rsid w:val="00B83EAE"/>
    <w:rsid w:val="00B84CC4"/>
    <w:rsid w:val="00B86A51"/>
    <w:rsid w:val="00B86A91"/>
    <w:rsid w:val="00B86B23"/>
    <w:rsid w:val="00B91541"/>
    <w:rsid w:val="00B92F63"/>
    <w:rsid w:val="00B93387"/>
    <w:rsid w:val="00B9395E"/>
    <w:rsid w:val="00B975EB"/>
    <w:rsid w:val="00BA7DA6"/>
    <w:rsid w:val="00BB16AC"/>
    <w:rsid w:val="00BB35D0"/>
    <w:rsid w:val="00BB5891"/>
    <w:rsid w:val="00BB74B8"/>
    <w:rsid w:val="00BC20E8"/>
    <w:rsid w:val="00BD50E9"/>
    <w:rsid w:val="00BD79D3"/>
    <w:rsid w:val="00BE1537"/>
    <w:rsid w:val="00BE1B18"/>
    <w:rsid w:val="00BE3D1A"/>
    <w:rsid w:val="00BE4923"/>
    <w:rsid w:val="00BF104E"/>
    <w:rsid w:val="00BF4ED9"/>
    <w:rsid w:val="00BF6823"/>
    <w:rsid w:val="00C04CB6"/>
    <w:rsid w:val="00C15AF9"/>
    <w:rsid w:val="00C17151"/>
    <w:rsid w:val="00C3045B"/>
    <w:rsid w:val="00C3367F"/>
    <w:rsid w:val="00C40CC6"/>
    <w:rsid w:val="00C43AD6"/>
    <w:rsid w:val="00C4754E"/>
    <w:rsid w:val="00C510D8"/>
    <w:rsid w:val="00C514B6"/>
    <w:rsid w:val="00C52440"/>
    <w:rsid w:val="00C5612B"/>
    <w:rsid w:val="00C602B0"/>
    <w:rsid w:val="00C63353"/>
    <w:rsid w:val="00C747C5"/>
    <w:rsid w:val="00C8410E"/>
    <w:rsid w:val="00C930C6"/>
    <w:rsid w:val="00CA4EE9"/>
    <w:rsid w:val="00CA5F65"/>
    <w:rsid w:val="00CA6322"/>
    <w:rsid w:val="00CB398B"/>
    <w:rsid w:val="00CB5CE6"/>
    <w:rsid w:val="00CC1DBC"/>
    <w:rsid w:val="00CC3A4F"/>
    <w:rsid w:val="00CC54E4"/>
    <w:rsid w:val="00CC7655"/>
    <w:rsid w:val="00CD05E5"/>
    <w:rsid w:val="00CE0037"/>
    <w:rsid w:val="00CF4626"/>
    <w:rsid w:val="00D075D4"/>
    <w:rsid w:val="00D105D2"/>
    <w:rsid w:val="00D13D28"/>
    <w:rsid w:val="00D20EF0"/>
    <w:rsid w:val="00D213F6"/>
    <w:rsid w:val="00D258E3"/>
    <w:rsid w:val="00D362B9"/>
    <w:rsid w:val="00D4404F"/>
    <w:rsid w:val="00D50513"/>
    <w:rsid w:val="00D522E2"/>
    <w:rsid w:val="00D52CC0"/>
    <w:rsid w:val="00D557E5"/>
    <w:rsid w:val="00D56336"/>
    <w:rsid w:val="00D7390D"/>
    <w:rsid w:val="00D75D2A"/>
    <w:rsid w:val="00D77C17"/>
    <w:rsid w:val="00D77FB6"/>
    <w:rsid w:val="00D8104D"/>
    <w:rsid w:val="00D81F90"/>
    <w:rsid w:val="00D846AF"/>
    <w:rsid w:val="00D847FF"/>
    <w:rsid w:val="00D8636D"/>
    <w:rsid w:val="00D900C8"/>
    <w:rsid w:val="00D97418"/>
    <w:rsid w:val="00DA1AAB"/>
    <w:rsid w:val="00DA1D8F"/>
    <w:rsid w:val="00DA6CEC"/>
    <w:rsid w:val="00DB279A"/>
    <w:rsid w:val="00DB74E1"/>
    <w:rsid w:val="00DC250C"/>
    <w:rsid w:val="00DC514A"/>
    <w:rsid w:val="00DD670D"/>
    <w:rsid w:val="00DD6C7A"/>
    <w:rsid w:val="00DE37B1"/>
    <w:rsid w:val="00DE3996"/>
    <w:rsid w:val="00DE7312"/>
    <w:rsid w:val="00DF3214"/>
    <w:rsid w:val="00DF3DDB"/>
    <w:rsid w:val="00DF60EE"/>
    <w:rsid w:val="00E06352"/>
    <w:rsid w:val="00E07CFE"/>
    <w:rsid w:val="00E105B1"/>
    <w:rsid w:val="00E133A5"/>
    <w:rsid w:val="00E13E9F"/>
    <w:rsid w:val="00E15114"/>
    <w:rsid w:val="00E16AF1"/>
    <w:rsid w:val="00E17722"/>
    <w:rsid w:val="00E20539"/>
    <w:rsid w:val="00E22C93"/>
    <w:rsid w:val="00E2364A"/>
    <w:rsid w:val="00E2670C"/>
    <w:rsid w:val="00E34CD4"/>
    <w:rsid w:val="00E35B91"/>
    <w:rsid w:val="00E424B4"/>
    <w:rsid w:val="00E432D1"/>
    <w:rsid w:val="00E467BF"/>
    <w:rsid w:val="00E50F16"/>
    <w:rsid w:val="00E62457"/>
    <w:rsid w:val="00E65644"/>
    <w:rsid w:val="00E664A7"/>
    <w:rsid w:val="00E67DC3"/>
    <w:rsid w:val="00E7000D"/>
    <w:rsid w:val="00E71AB2"/>
    <w:rsid w:val="00E75479"/>
    <w:rsid w:val="00E97390"/>
    <w:rsid w:val="00EA11D2"/>
    <w:rsid w:val="00EA431F"/>
    <w:rsid w:val="00EB06B0"/>
    <w:rsid w:val="00EB0FDD"/>
    <w:rsid w:val="00ED160E"/>
    <w:rsid w:val="00EF6F57"/>
    <w:rsid w:val="00F05B45"/>
    <w:rsid w:val="00F21259"/>
    <w:rsid w:val="00F356B8"/>
    <w:rsid w:val="00F44286"/>
    <w:rsid w:val="00F45B00"/>
    <w:rsid w:val="00F500A2"/>
    <w:rsid w:val="00F5214C"/>
    <w:rsid w:val="00F52811"/>
    <w:rsid w:val="00F57DBA"/>
    <w:rsid w:val="00F67D9D"/>
    <w:rsid w:val="00F70CCE"/>
    <w:rsid w:val="00F712AC"/>
    <w:rsid w:val="00F75DAF"/>
    <w:rsid w:val="00F767F3"/>
    <w:rsid w:val="00F77F41"/>
    <w:rsid w:val="00F86B9F"/>
    <w:rsid w:val="00F93C66"/>
    <w:rsid w:val="00F942DB"/>
    <w:rsid w:val="00F94D40"/>
    <w:rsid w:val="00F973B7"/>
    <w:rsid w:val="00FA2CEC"/>
    <w:rsid w:val="00FB1EC8"/>
    <w:rsid w:val="00FB33CD"/>
    <w:rsid w:val="00FB42FA"/>
    <w:rsid w:val="00FB6B38"/>
    <w:rsid w:val="00FD1563"/>
    <w:rsid w:val="00FF1540"/>
    <w:rsid w:val="00FF314F"/>
    <w:rsid w:val="00FF361D"/>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5E"/>
    <w:rPr>
      <w:sz w:val="24"/>
      <w:szCs w:val="24"/>
    </w:rPr>
  </w:style>
  <w:style w:type="paragraph" w:styleId="Heading1">
    <w:name w:val="heading 1"/>
    <w:basedOn w:val="Normal"/>
    <w:next w:val="Normal"/>
    <w:qFormat/>
    <w:rsid w:val="008842DE"/>
    <w:pPr>
      <w:keepNext/>
      <w:outlineLvl w:val="0"/>
    </w:pPr>
    <w:rPr>
      <w:b/>
      <w:bCs/>
      <w:u w:val="single"/>
    </w:rPr>
  </w:style>
  <w:style w:type="paragraph" w:styleId="Heading2">
    <w:name w:val="heading 2"/>
    <w:basedOn w:val="Normal"/>
    <w:next w:val="Normal"/>
    <w:link w:val="Heading2Char"/>
    <w:semiHidden/>
    <w:unhideWhenUsed/>
    <w:qFormat/>
    <w:rsid w:val="00A359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character" w:styleId="Hyperlink">
    <w:name w:val="Hyperlink"/>
    <w:basedOn w:val="DefaultParagraphFont"/>
    <w:uiPriority w:val="99"/>
    <w:unhideWhenUsed/>
    <w:rsid w:val="00514F77"/>
    <w:rPr>
      <w:color w:val="0000FF"/>
      <w:u w:val="single"/>
    </w:rPr>
  </w:style>
  <w:style w:type="character" w:customStyle="1" w:styleId="Heading2Char">
    <w:name w:val="Heading 2 Char"/>
    <w:basedOn w:val="DefaultParagraphFont"/>
    <w:link w:val="Heading2"/>
    <w:semiHidden/>
    <w:rsid w:val="00A359E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052E36"/>
    <w:pPr>
      <w:spacing w:before="100" w:beforeAutospacing="1" w:after="100" w:afterAutospacing="1"/>
    </w:pPr>
  </w:style>
  <w:style w:type="character" w:styleId="UnresolvedMention">
    <w:name w:val="Unresolved Mention"/>
    <w:basedOn w:val="DefaultParagraphFont"/>
    <w:uiPriority w:val="99"/>
    <w:semiHidden/>
    <w:unhideWhenUsed/>
    <w:rsid w:val="00BE4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384067252">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569972199">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602510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338227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272974365">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518690183">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art.setmor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customXml/itemProps3.xml><?xml version="1.0" encoding="utf-8"?>
<ds:datastoreItem xmlns:ds="http://schemas.openxmlformats.org/officeDocument/2006/customXml" ds:itemID="{B796E1C9-6E01-4919-A93F-5579527E9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26</cp:revision>
  <cp:lastPrinted>2025-07-22T15:19:00Z</cp:lastPrinted>
  <dcterms:created xsi:type="dcterms:W3CDTF">2026-02-10T16:22:00Z</dcterms:created>
  <dcterms:modified xsi:type="dcterms:W3CDTF">2026-02-10T17:11:00Z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